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773" w:rsidRDefault="00DC351C">
      <w:pPr>
        <w:spacing w:line="560" w:lineRule="exact"/>
        <w:rPr>
          <w:rFonts w:ascii="仿宋_GB2312" w:eastAsia="仿宋_GB2312" w:hAnsi="宋体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钱文杰，法学博士，讲师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合作导师：程林副教授、张挺副教授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招生专业：法律硕士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 xml:space="preserve">联系邮箱：qwj1290@163.com </w:t>
      </w:r>
    </w:p>
    <w:p w:rsidR="00837773" w:rsidRDefault="00DC351C">
      <w:pPr>
        <w:spacing w:line="560" w:lineRule="exact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t>一、研究领域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诉讼法学、司法制度</w:t>
      </w:r>
    </w:p>
    <w:p w:rsidR="00837773" w:rsidRDefault="00DC351C">
      <w:pPr>
        <w:spacing w:line="560" w:lineRule="exact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t>二、教育和工作经历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  <w:lang w:bidi="ar"/>
        </w:rPr>
        <w:t>2010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9</w:t>
      </w:r>
      <w:r>
        <w:rPr>
          <w:rFonts w:ascii="仿宋" w:eastAsia="仿宋" w:hAnsi="仿宋" w:cs="仿宋"/>
          <w:sz w:val="28"/>
          <w:szCs w:val="28"/>
          <w:lang w:bidi="ar"/>
        </w:rPr>
        <w:t>月</w:t>
      </w:r>
      <w:r>
        <w:rPr>
          <w:rFonts w:ascii="仿宋_GB2312" w:eastAsia="仿宋_GB2312" w:hAnsi="宋体" w:cs="仿宋_GB2312"/>
          <w:sz w:val="28"/>
          <w:szCs w:val="28"/>
          <w:lang w:bidi="ar"/>
        </w:rPr>
        <w:t>--</w:t>
      </w:r>
      <w:r>
        <w:rPr>
          <w:rFonts w:ascii="Times New Roman" w:eastAsia="仿宋" w:hAnsi="Times New Roman"/>
          <w:sz w:val="28"/>
          <w:szCs w:val="28"/>
          <w:lang w:bidi="ar"/>
        </w:rPr>
        <w:t>2014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6</w:t>
      </w:r>
      <w:r>
        <w:rPr>
          <w:rFonts w:ascii="仿宋" w:eastAsia="仿宋" w:hAnsi="仿宋" w:cs="仿宋"/>
          <w:sz w:val="28"/>
          <w:szCs w:val="28"/>
          <w:lang w:bidi="ar"/>
        </w:rPr>
        <w:t>月，武汉科技大学，法学学士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  <w:lang w:bidi="ar"/>
        </w:rPr>
        <w:t>2014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9</w:t>
      </w:r>
      <w:r>
        <w:rPr>
          <w:rFonts w:ascii="仿宋" w:eastAsia="仿宋" w:hAnsi="仿宋" w:cs="仿宋"/>
          <w:sz w:val="28"/>
          <w:szCs w:val="28"/>
          <w:lang w:bidi="ar"/>
        </w:rPr>
        <w:t>月</w:t>
      </w:r>
      <w:r>
        <w:rPr>
          <w:rFonts w:ascii="仿宋_GB2312" w:eastAsia="仿宋_GB2312" w:hAnsi="宋体" w:cs="仿宋_GB2312"/>
          <w:sz w:val="28"/>
          <w:szCs w:val="28"/>
          <w:lang w:bidi="ar"/>
        </w:rPr>
        <w:t>--</w:t>
      </w:r>
      <w:r>
        <w:rPr>
          <w:rFonts w:ascii="Times New Roman" w:eastAsia="仿宋" w:hAnsi="Times New Roman"/>
          <w:sz w:val="28"/>
          <w:szCs w:val="28"/>
          <w:lang w:bidi="ar"/>
        </w:rPr>
        <w:t>2017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3</w:t>
      </w:r>
      <w:r>
        <w:rPr>
          <w:rFonts w:ascii="仿宋" w:eastAsia="仿宋" w:hAnsi="仿宋" w:cs="仿宋"/>
          <w:sz w:val="28"/>
          <w:szCs w:val="28"/>
          <w:lang w:bidi="ar"/>
        </w:rPr>
        <w:t>月，浙江工商大学，法学硕士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  <w:lang w:bidi="ar"/>
        </w:rPr>
        <w:t>2017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9</w:t>
      </w:r>
      <w:r>
        <w:rPr>
          <w:rFonts w:ascii="仿宋" w:eastAsia="仿宋" w:hAnsi="仿宋" w:cs="仿宋"/>
          <w:sz w:val="28"/>
          <w:szCs w:val="28"/>
          <w:lang w:bidi="ar"/>
        </w:rPr>
        <w:t>月</w:t>
      </w:r>
      <w:r>
        <w:rPr>
          <w:rFonts w:ascii="仿宋_GB2312" w:eastAsia="仿宋_GB2312" w:hAnsi="宋体" w:cs="仿宋_GB2312"/>
          <w:sz w:val="28"/>
          <w:szCs w:val="28"/>
          <w:lang w:bidi="ar"/>
        </w:rPr>
        <w:t>--</w:t>
      </w:r>
      <w:r>
        <w:rPr>
          <w:rFonts w:ascii="Times New Roman" w:eastAsia="仿宋" w:hAnsi="Times New Roman"/>
          <w:sz w:val="28"/>
          <w:szCs w:val="28"/>
          <w:lang w:bidi="ar"/>
        </w:rPr>
        <w:t>2020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6</w:t>
      </w:r>
      <w:r>
        <w:rPr>
          <w:rFonts w:ascii="仿宋" w:eastAsia="仿宋" w:hAnsi="仿宋" w:cs="仿宋"/>
          <w:sz w:val="28"/>
          <w:szCs w:val="28"/>
          <w:lang w:bidi="ar"/>
        </w:rPr>
        <w:t>月，浙江大学，法学博士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  <w:lang w:bidi="ar"/>
        </w:rPr>
        <w:t>2020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9</w:t>
      </w:r>
      <w:r>
        <w:rPr>
          <w:rFonts w:ascii="仿宋" w:eastAsia="仿宋" w:hAnsi="仿宋" w:cs="仿宋"/>
          <w:sz w:val="28"/>
          <w:szCs w:val="28"/>
          <w:lang w:bidi="ar"/>
        </w:rPr>
        <w:t>月</w:t>
      </w:r>
      <w:r>
        <w:rPr>
          <w:rFonts w:ascii="仿宋_GB2312" w:eastAsia="仿宋_GB2312" w:hAnsi="宋体" w:cs="仿宋_GB2312"/>
          <w:sz w:val="28"/>
          <w:szCs w:val="28"/>
          <w:lang w:bidi="ar"/>
        </w:rPr>
        <w:t>--</w:t>
      </w:r>
      <w:r>
        <w:rPr>
          <w:rFonts w:ascii="Times New Roman" w:eastAsia="仿宋" w:hAnsi="Times New Roman"/>
          <w:sz w:val="28"/>
          <w:szCs w:val="28"/>
          <w:lang w:bidi="ar"/>
        </w:rPr>
        <w:t>2021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9</w:t>
      </w:r>
      <w:r>
        <w:rPr>
          <w:rFonts w:ascii="仿宋" w:eastAsia="仿宋" w:hAnsi="仿宋" w:cs="仿宋"/>
          <w:sz w:val="28"/>
          <w:szCs w:val="28"/>
          <w:lang w:bidi="ar"/>
        </w:rPr>
        <w:t>月，教育部政策法规司挂职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  <w:lang w:bidi="ar"/>
        </w:rPr>
        <w:t>2020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7</w:t>
      </w:r>
      <w:r>
        <w:rPr>
          <w:rFonts w:ascii="仿宋" w:eastAsia="仿宋" w:hAnsi="仿宋" w:cs="仿宋"/>
          <w:sz w:val="28"/>
          <w:szCs w:val="28"/>
          <w:lang w:bidi="ar"/>
        </w:rPr>
        <w:t>月至今，杭州师范大学沈钧儒法学院任教</w:t>
      </w:r>
    </w:p>
    <w:p w:rsidR="00837773" w:rsidRDefault="00DC351C">
      <w:pPr>
        <w:spacing w:line="560" w:lineRule="exact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sz w:val="28"/>
          <w:szCs w:val="28"/>
          <w:lang w:bidi="ar"/>
        </w:rPr>
        <w:t>2024</w:t>
      </w:r>
      <w:r>
        <w:rPr>
          <w:rFonts w:ascii="仿宋" w:eastAsia="仿宋" w:hAnsi="仿宋" w:cs="仿宋"/>
          <w:sz w:val="28"/>
          <w:szCs w:val="28"/>
          <w:lang w:bidi="ar"/>
        </w:rPr>
        <w:t>年</w:t>
      </w:r>
      <w:r>
        <w:rPr>
          <w:rFonts w:ascii="Times New Roman" w:eastAsia="仿宋" w:hAnsi="Times New Roman"/>
          <w:sz w:val="28"/>
          <w:szCs w:val="28"/>
          <w:lang w:bidi="ar"/>
        </w:rPr>
        <w:t>11</w:t>
      </w:r>
      <w:r>
        <w:rPr>
          <w:rFonts w:ascii="仿宋" w:eastAsia="仿宋" w:hAnsi="仿宋" w:cs="仿宋"/>
          <w:sz w:val="28"/>
          <w:szCs w:val="28"/>
          <w:lang w:bidi="ar"/>
        </w:rPr>
        <w:t>月至今，杭州师范大学研究生院特聘副院长</w:t>
      </w:r>
    </w:p>
    <w:p w:rsidR="00837773" w:rsidRDefault="00DC351C">
      <w:pPr>
        <w:numPr>
          <w:ilvl w:val="0"/>
          <w:numId w:val="1"/>
        </w:numPr>
        <w:spacing w:line="560" w:lineRule="exact"/>
        <w:rPr>
          <w:rFonts w:ascii="黑体" w:eastAsia="黑体" w:hAnsi="宋体" w:cs="黑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t>主持科研项目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1.国家社会科学基金哲学社会科学领军人才项目子课题《公民法治素养的构成及其功能》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2.浙江省哲学社会科学规划课题后期资助项目课题《职务犯罪刑事司法的法治化研究》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3.最高人民检察院检察应用理论研究课题《检察机关独立高效行使公益诉讼调查核实权研究》《捕诉一体模式下审前羁押的实践性反思》。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4.教育部产学研协同育人项目课题《基于虚拟仿真实验的诉讼法实践平台应用》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5.教育部政策法规司委托课题《青少年法治素养指标体系研究》。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lastRenderedPageBreak/>
        <w:t>6.杭州市哲学社会科学规划课题《合作治理模式下的政府信息公开》《杭州打造一流国际化营商环境的法治保障研究》《身份转换与“城市融入”：毕业大学生的犯罪风险与化解》《杭州检察e站建设中的“民生行动”研究》等。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7.浙江省高等教育“十四五”研究生教学改革项目《涉外法治人才培养中的智慧理念及创新实践》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8.浙江省优秀研究生教学案例《基于虚拟仿真实验的法学教育模式创新——以捕诉决策为例》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 xml:space="preserve"> </w:t>
      </w:r>
    </w:p>
    <w:p w:rsidR="00837773" w:rsidRDefault="00DC351C">
      <w:pPr>
        <w:widowControl/>
        <w:spacing w:line="560" w:lineRule="exact"/>
        <w:jc w:val="left"/>
        <w:rPr>
          <w:rFonts w:ascii="黑体" w:eastAsia="黑体" w:hAnsi="宋体"/>
          <w:sz w:val="28"/>
          <w:szCs w:val="28"/>
        </w:rPr>
      </w:pPr>
      <w:r>
        <w:rPr>
          <w:rFonts w:ascii="黑体" w:eastAsia="黑体" w:hAnsi="宋体" w:cs="黑体"/>
          <w:sz w:val="28"/>
          <w:szCs w:val="28"/>
          <w:lang w:bidi="ar"/>
        </w:rPr>
        <w:t>四、代表性论著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1.钱文杰：《职务犯罪刑事司法的法治化研究》，法律出版社2024年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2.钱文杰、李安：《基于虚拟仿真实验的法学教育模式创新研究》，《中国大学教学》2024年第8期（CSSCI）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3.钱文杰：《“问题学位论文”中导师负责制的理性建构》，《法学教育研究》2024年第4期（CSSCI）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4.钱文杰：《割裂到弥合：校外教育的政策演变与治理转型》，《现代基础教育研究》2024年第1期（CSSCI）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5.钱文杰：《论对规范性文件的异议审查》，《湖北社会科学》2017年第11期（CSSCI）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6.钱文杰：《论认罪认罚从宽中的程序正义及其实现》，《北京理工大学学报（社会科学版）》2018年第3期（CSSCI）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7.钱文杰：《行贿罪量刑的实证检验与反思》，《法律与社会科学》2018年第2期（CSSCI）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lastRenderedPageBreak/>
        <w:t>8.胡铭、钱文杰：《现代科技融入刑事辩护的机遇、挑战与风险防范》，《江淮论坛》2018年第1期（CSSCI）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_GB2312" w:eastAsia="仿宋_GB2312" w:hAnsi="宋体" w:cs="仿宋_GB2312"/>
          <w:sz w:val="28"/>
          <w:szCs w:val="28"/>
          <w:lang w:bidi="ar"/>
        </w:rPr>
        <w:t>9</w:t>
      </w:r>
      <w:r>
        <w:rPr>
          <w:rFonts w:ascii="仿宋_GB2312" w:eastAsia="仿宋_GB2312" w:hAnsi="宋体"/>
          <w:sz w:val="28"/>
          <w:szCs w:val="28"/>
          <w:lang w:bidi="ar"/>
        </w:rPr>
        <w:t>.</w:t>
      </w:r>
      <w:r>
        <w:rPr>
          <w:rFonts w:ascii="仿宋" w:eastAsia="仿宋" w:hAnsi="仿宋" w:cs="仿宋"/>
          <w:sz w:val="28"/>
          <w:szCs w:val="28"/>
          <w:lang w:bidi="ar"/>
        </w:rPr>
        <w:t>胡铭、钱文杰：</w:t>
      </w:r>
      <w:r>
        <w:rPr>
          <w:rFonts w:ascii="仿宋_GB2312" w:eastAsia="仿宋_GB2312" w:hAnsi="宋体" w:cs="仿宋_GB2312"/>
          <w:sz w:val="28"/>
          <w:szCs w:val="28"/>
          <w:lang w:bidi="ar"/>
        </w:rPr>
        <w:t>《侦查与调查：职务犯罪追诉的模式演进及制度完善）》，《浙江大学学报（人文社会科学版）》</w:t>
      </w:r>
      <w:r>
        <w:rPr>
          <w:rFonts w:ascii="仿宋_GB2312" w:eastAsia="仿宋_GB2312" w:hAnsi="宋体"/>
          <w:sz w:val="28"/>
          <w:szCs w:val="28"/>
          <w:lang w:bidi="ar"/>
        </w:rPr>
        <w:t>2019年第5期</w:t>
      </w:r>
      <w:r>
        <w:rPr>
          <w:rFonts w:ascii="仿宋" w:eastAsia="仿宋" w:hAnsi="仿宋" w:cs="仿宋"/>
          <w:sz w:val="28"/>
          <w:szCs w:val="28"/>
          <w:lang w:bidi="ar"/>
        </w:rPr>
        <w:t>（CSSCI）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10.钱文杰：《我国刑事司法中的缺席审判》，《河北法学》2018年第4期（CSSCI扩展版）</w:t>
      </w:r>
    </w:p>
    <w:p w:rsidR="00837773" w:rsidRDefault="00DC351C">
      <w:pPr>
        <w:spacing w:line="560" w:lineRule="exac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  <w:lang w:bidi="ar"/>
        </w:rPr>
        <w:t>11.钱文杰：《捕诉关系的实验性研究》，《中国政法大学学报》2025年第1期（CSSCI扩展版）</w:t>
      </w: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spacing w:line="560" w:lineRule="exact"/>
        <w:rPr>
          <w:rFonts w:ascii="仿宋_GB2312" w:eastAsia="仿宋_GB2312" w:hAnsi="宋体"/>
          <w:sz w:val="28"/>
          <w:szCs w:val="28"/>
        </w:rPr>
      </w:pPr>
    </w:p>
    <w:p w:rsidR="00837773" w:rsidRDefault="00837773">
      <w:pPr>
        <w:widowControl/>
        <w:jc w:val="lef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Default="00837773">
      <w:pPr>
        <w:spacing w:line="560" w:lineRule="exact"/>
        <w:rPr>
          <w:rFonts w:ascii="Times New Roman" w:eastAsia="仿宋" w:hAnsi="Times New Roman"/>
          <w:sz w:val="28"/>
          <w:szCs w:val="28"/>
          <w:lang w:bidi="ar"/>
        </w:rPr>
      </w:pPr>
    </w:p>
    <w:p w:rsidR="00837773" w:rsidRDefault="00837773">
      <w:pPr>
        <w:spacing w:line="560" w:lineRule="exact"/>
        <w:rPr>
          <w:rFonts w:ascii="Times New Roman" w:eastAsia="仿宋" w:hAnsi="Times New Roman"/>
          <w:sz w:val="28"/>
          <w:szCs w:val="28"/>
          <w:lang w:bidi="ar"/>
        </w:rPr>
      </w:pPr>
    </w:p>
    <w:p w:rsidR="00837773" w:rsidRDefault="00837773">
      <w:pPr>
        <w:spacing w:line="560" w:lineRule="exact"/>
        <w:rPr>
          <w:rFonts w:ascii="Times New Roman" w:eastAsia="仿宋" w:hAnsi="Times New Roman"/>
          <w:sz w:val="28"/>
          <w:szCs w:val="28"/>
          <w:lang w:bidi="ar"/>
        </w:rPr>
      </w:pPr>
    </w:p>
    <w:p w:rsidR="00837773" w:rsidRDefault="00837773">
      <w:pPr>
        <w:spacing w:line="560" w:lineRule="exact"/>
        <w:rPr>
          <w:rFonts w:ascii="Times New Roman" w:eastAsia="仿宋" w:hAnsi="Times New Roman"/>
          <w:sz w:val="28"/>
          <w:szCs w:val="28"/>
          <w:lang w:bidi="ar"/>
        </w:rPr>
      </w:pP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lastRenderedPageBreak/>
        <w:t>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，男，法学博士，讲师，博士毕业于西安交通大学法学院网络与信息安全法学专业。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合作导师：曾威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招生专业：法律硕士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联系邮箱：yearnerlv@126.com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研究方向：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经济法、人工智能法学、数字法学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论文成果：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1.吕桐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：《证券交易算法同质化的潜在风险与防范进路》，载《大连理工大学学报(社会科学版)》2025年第2期（CSSCI）；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2.吕桐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：《程序化交易报告制度的问题检视与完善路径》，载《现代经济探讨》2024年第6期（CSSCI）；人大报刊复印资料全文转载；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3.吕桐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：《数字经济视域下算力盗用的双维风险及法治应对》，载《山东师范大学学报(社会科学版)》2023年第5期（CSSCI）；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4.吕桐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：《人工智能时代程序化交易监管的制度完善》，载《现代经济探讨》2023年第2期（CSSCI）；人大报刊复印资料全文转载；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5.吕桐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：《论利用技术优势操纵市场的法律规制》，载《经济法论坛》2023年第1期（CSSCI）；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6.吕桐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：《我国证券市场量化交易的法律监管问题研究》，载《证券法苑》2022年第2期（CSSCI）；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7.吕桐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：《程序化交易穿透式监管：问题检视与路径优化》，载《南方金融》2023年第4期（CSSCI扩展版）；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8.王志勇，吕桐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：《国家治理视野下的算法治理模式探析》，载《科技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lastRenderedPageBreak/>
        <w:t>管理研究》2023年第19期（CSSCI扩展版）；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9.周</w:t>
      </w:r>
      <w:proofErr w:type="gramStart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世</w:t>
      </w:r>
      <w:proofErr w:type="gramEnd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中，吕桐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：《人工智能法律系统推理的方法论审思》，载《湖南社会科学》2021年第3期（CSSCI扩展版）；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10.周</w:t>
      </w:r>
      <w:proofErr w:type="gramStart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世</w:t>
      </w:r>
      <w:proofErr w:type="gramEnd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中，吕桐</w:t>
      </w:r>
      <w:r w:rsidRPr="000B6574">
        <w:rPr>
          <w:rFonts w:ascii="微软雅黑" w:eastAsia="微软雅黑" w:hAnsi="微软雅黑" w:cs="微软雅黑" w:hint="eastAsia"/>
          <w:sz w:val="28"/>
          <w:szCs w:val="28"/>
          <w:lang w:bidi="ar"/>
        </w:rPr>
        <w:t>弢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：《人工智能给法教义学带来的冲击及其应对》，载《广东行政学院学报》2021年第1期；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在</w:t>
      </w:r>
      <w:proofErr w:type="gramStart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研</w:t>
      </w:r>
      <w:proofErr w:type="gramEnd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课题项目：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1.主持浙江省高校重大人文社科攻关计划项目“数字经济视域下区域算力竞争的法治保障研究”（编号：2024QN009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）</w:t>
      </w: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3612B5" w:rsidRDefault="003612B5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3612B5" w:rsidRDefault="003612B5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3612B5" w:rsidRDefault="003612B5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3612B5" w:rsidRDefault="003612B5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3612B5" w:rsidRDefault="003612B5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3612B5" w:rsidRPr="000B6574" w:rsidRDefault="003612B5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lastRenderedPageBreak/>
        <w:t>虞婷婷，女，法学博士，讲师。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合作导师：余永祥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招生专业：法律硕士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联系邮箱：20230070@hznu.edu.cn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一、研究方向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知识产权法、网络法</w:t>
      </w:r>
    </w:p>
    <w:p w:rsidR="00837773" w:rsidRPr="000B6574" w:rsidRDefault="00DC351C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二、教育和工作经历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2012.09-2016.06：中南</w:t>
      </w:r>
      <w:proofErr w:type="gramStart"/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财经政法</w:t>
      </w:r>
      <w:proofErr w:type="gramEnd"/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大学，法学学士；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2016.09-2019.06：武汉大学，民</w:t>
      </w:r>
      <w:proofErr w:type="gramStart"/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商法学</w:t>
      </w:r>
      <w:proofErr w:type="gramEnd"/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硕士；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2019.09-2023.06：清华大学，法学博士；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2022.02-2022.08：美国加州大学伯克利分校，访问学者；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2023.07-至今：杭州师范大学沈钧儒法学院，讲师。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三、代表性成果：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1.虞婷婷：《作品元素商品化利用的法律规制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——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兼论对独立商品化权益的否定》，载《财经法学》2024年第1期（CSSCI），人大复印报刊资料《法学文摘》2024年第2期转载；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2.虞婷婷：《数字出版物发行权用尽的理论阐释与制度设计》，载《出版发行研究》2023年第7期（CSSCI）；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3.虞婷婷：《我国著作权立法中转换性使用理论的引入》，载《私法》2022年第1期（CSSCI）；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4.虞婷婷，《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“通知—删除”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程序中错误通知赔偿责任的主观要件》，载《大连海事大学学报（社会科学版）》2020年第6期；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5.虞婷婷：《网络服务商过错判定理念的修正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——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以知识产权审查义务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lastRenderedPageBreak/>
        <w:t>的确立为中心》，载《政治与法律》2019年第10期（CSSCI，法核）；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6.虞婷婷：《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“未来版权”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担保融资的解释路径与制度构建》，载《私法》2018年1期（CSSCI）；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7.虞婷婷：《专车平台在交通事故中的侵权责任研究》，载《网络信息法学研究》2018年第1期；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8.虞婷婷：《论公司决议瑕疵的对外效力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——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我国&lt;民法总则&gt;第85条与&lt;公司法司法解释四&gt;第6条的展开》，载《商法界论集》第2卷。</w:t>
      </w: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Pr="000B6574" w:rsidRDefault="00837773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</w:p>
    <w:p w:rsidR="00837773" w:rsidRDefault="00837773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Pr="00432F06" w:rsidRDefault="00837773" w:rsidP="00222C3A">
      <w:pPr>
        <w:widowControl/>
        <w:spacing w:line="360" w:lineRule="atLeast"/>
        <w:rPr>
          <w:rFonts w:ascii="Times New Roman" w:eastAsia="仿宋" w:hAnsi="Times New Roman" w:hint="eastAsia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lastRenderedPageBreak/>
        <w:t>黄钰，法学博士，讲师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合作导师：李建忠教授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招生专业：法律硕士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联系邮箱：15671625829@139.com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一、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研究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方向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 xml:space="preserve">    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国际法学、国际私法学、数据跨境流动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二、教育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和工作经历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 xml:space="preserve">    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2013年9月--2017年6月，武汉科技大学，法学学士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 xml:space="preserve">    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2017年9月--2020年6月，中南</w:t>
      </w:r>
      <w:proofErr w:type="gramStart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财经政法</w:t>
      </w:r>
      <w:proofErr w:type="gramEnd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大学，法学硕士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 xml:space="preserve">    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2019年2月—2019年6月，中国台湾东海大学，访学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 xml:space="preserve">    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2020年9月--2023年6月，中南</w:t>
      </w:r>
      <w:proofErr w:type="gramStart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财经政法</w:t>
      </w:r>
      <w:proofErr w:type="gramEnd"/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大学，法学博士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 xml:space="preserve">    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2023年6月--2023年8月，互联网法治研究院，访问学者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 xml:space="preserve">    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2023年12月至今，杭州师范大学沈钧儒法学院，任教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三、代表性成果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1.黄钰：《欧盟非个人数据跨境流动监管模式研究》，载《情报杂志》2022年第12期（CSSCI）；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2.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黄钰：《反制美国不当域外证据开示的欧洲经验与中国策略》，载《中国国际私法</w:t>
      </w:r>
      <w:r w:rsidRPr="000B6574">
        <w:rPr>
          <w:rFonts w:ascii="仿宋_GB2312" w:eastAsia="仿宋_GB2312" w:hAnsi="宋体" w:cs="仿宋_GB2312"/>
          <w:sz w:val="28"/>
          <w:szCs w:val="28"/>
          <w:lang w:bidi="ar"/>
        </w:rPr>
        <w:t>与比较法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年刊》2022年第28卷（CSSCI集刊）；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3.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刘仁山、黄钰：《涉外合同法律适用中“意思自治原则”的适用限制》，载《社会科学家》2021年第10期（CSSCI扩展版）；</w:t>
      </w:r>
    </w:p>
    <w:p w:rsidR="00837773" w:rsidRPr="000B6574" w:rsidRDefault="00DC351C" w:rsidP="000B6574">
      <w:pPr>
        <w:spacing w:line="560" w:lineRule="exact"/>
        <w:rPr>
          <w:rFonts w:ascii="仿宋_GB2312" w:eastAsia="仿宋_GB2312" w:hAnsi="宋体" w:cs="仿宋_GB2312"/>
          <w:sz w:val="28"/>
          <w:szCs w:val="28"/>
          <w:lang w:bidi="ar"/>
        </w:rPr>
      </w:pP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4.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 </w:t>
      </w:r>
      <w:r w:rsidRPr="000B6574">
        <w:rPr>
          <w:rFonts w:ascii="仿宋_GB2312" w:eastAsia="仿宋_GB2312" w:hAnsi="宋体" w:cs="仿宋_GB2312" w:hint="eastAsia"/>
          <w:sz w:val="28"/>
          <w:szCs w:val="28"/>
          <w:lang w:bidi="ar"/>
        </w:rPr>
        <w:t>黄钰：《涉外合同及财产纠纷管辖权确定标准之困境与完善——以“实际联系标准”为例》，载《中南财经政法大学研究生学报》2019年第1期。</w:t>
      </w:r>
    </w:p>
    <w:p w:rsidR="00837773" w:rsidRDefault="00837773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ind w:firstLine="560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Default="00837773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0B6574" w:rsidRDefault="000B6574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222C3A" w:rsidRDefault="00222C3A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222C3A" w:rsidRDefault="00222C3A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222C3A" w:rsidRDefault="00222C3A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222C3A" w:rsidRDefault="00222C3A">
      <w:pPr>
        <w:widowControl/>
        <w:spacing w:line="360" w:lineRule="atLeast"/>
        <w:rPr>
          <w:rFonts w:ascii="Times New Roman" w:eastAsia="仿宋" w:hAnsi="Times New Roman"/>
          <w:color w:val="4C4C4C"/>
          <w:kern w:val="0"/>
          <w:sz w:val="28"/>
          <w:szCs w:val="28"/>
          <w:shd w:val="clear" w:color="auto" w:fill="FFFFFF"/>
          <w:lang w:bidi="ar"/>
        </w:rPr>
      </w:pPr>
    </w:p>
    <w:p w:rsidR="00837773" w:rsidRPr="00432F06" w:rsidRDefault="00DC351C">
      <w:pPr>
        <w:widowControl/>
        <w:spacing w:line="360" w:lineRule="atLeast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lastRenderedPageBreak/>
        <w:t>陈安然，法学博士，讲师</w:t>
      </w:r>
    </w:p>
    <w:p w:rsidR="00837773" w:rsidRPr="00432F06" w:rsidRDefault="00DC351C">
      <w:pPr>
        <w:widowControl/>
        <w:spacing w:line="360" w:lineRule="atLeast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合作导师：张挺</w:t>
      </w:r>
    </w:p>
    <w:p w:rsidR="00837773" w:rsidRPr="00432F06" w:rsidRDefault="00DC351C">
      <w:pPr>
        <w:widowControl/>
        <w:spacing w:line="360" w:lineRule="atLeast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招生专业：法律硕士</w:t>
      </w:r>
    </w:p>
    <w:p w:rsidR="00837773" w:rsidRPr="00432F06" w:rsidRDefault="00DC351C">
      <w:pPr>
        <w:widowControl/>
        <w:spacing w:line="360" w:lineRule="atLeast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联系邮箱：422076557@qq.com</w:t>
      </w:r>
    </w:p>
    <w:p w:rsidR="00837773" w:rsidRPr="00432F06" w:rsidRDefault="00DC351C">
      <w:pPr>
        <w:widowControl/>
        <w:spacing w:line="360" w:lineRule="atLeast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一、研究方向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民法学、合同法、担保法</w:t>
      </w:r>
    </w:p>
    <w:p w:rsidR="00837773" w:rsidRPr="00432F06" w:rsidRDefault="00DC351C">
      <w:pPr>
        <w:widowControl/>
        <w:spacing w:line="360" w:lineRule="atLeast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二、教育和工作经历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2014.9—2018.6：山东大学法学院，法学学士；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2015.9—2016.6：武汉大学法学院交流学习；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2018.9—2023.6：浙江大学光华法学院硕博连读，法学博士；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2023.8—至今：杭州师范大学沈钧儒法学院，任教。</w:t>
      </w:r>
    </w:p>
    <w:p w:rsidR="00837773" w:rsidRPr="00432F06" w:rsidRDefault="00DC351C">
      <w:pPr>
        <w:widowControl/>
        <w:spacing w:line="360" w:lineRule="atLeast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三、代表性成果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1.陈安然：《论金钱之债迟延履行的损失认定》，载《浙江工商大学学报》2023年第1期（CSSCI）；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2.陈安然：《多重保理规则的扩张与体系协调》，载</w:t>
      </w:r>
      <w:bookmarkStart w:id="0" w:name="_GoBack"/>
      <w:bookmarkEnd w:id="0"/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《浙江学刊》2023年第2期（CSSCI）；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3.陈安然：《债务人与债权人互负债务时保证人之抗辩权》，《上海政法学院学报（法治论丛）》2023年第1期。</w:t>
      </w:r>
    </w:p>
    <w:p w:rsidR="00837773" w:rsidRPr="00432F06" w:rsidRDefault="00DC351C">
      <w:pPr>
        <w:widowControl/>
        <w:spacing w:line="360" w:lineRule="atLeast"/>
        <w:ind w:firstLine="560"/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</w:pPr>
      <w:r w:rsidRPr="00432F06">
        <w:rPr>
          <w:rFonts w:ascii="仿宋_GB2312" w:eastAsia="仿宋_GB2312" w:hAnsi="Times New Roman" w:hint="eastAsia"/>
          <w:color w:val="000000" w:themeColor="text1"/>
          <w:kern w:val="0"/>
          <w:sz w:val="28"/>
          <w:szCs w:val="28"/>
          <w:shd w:val="clear" w:color="auto" w:fill="FFFFFF"/>
          <w:lang w:bidi="ar"/>
        </w:rPr>
        <w:t>4.参著《民法典视角下的身份法律行为》，浙江大学出版社，2023年8月版</w:t>
      </w:r>
      <w:r w:rsidRPr="00432F06">
        <w:rPr>
          <w:rFonts w:ascii="仿宋_GB2312" w:eastAsia="仿宋_GB2312" w:hAnsi="宋体" w:cs="宋体" w:hint="eastAsia"/>
          <w:color w:val="000000" w:themeColor="text1"/>
          <w:szCs w:val="21"/>
          <w:lang w:bidi="ar"/>
        </w:rPr>
        <w:t>。</w:t>
      </w:r>
    </w:p>
    <w:sectPr w:rsidR="00837773" w:rsidRPr="00432F06">
      <w:footerReference w:type="default" r:id="rId7"/>
      <w:pgSz w:w="11906" w:h="16838"/>
      <w:pgMar w:top="1440" w:right="1558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A79" w:rsidRDefault="00051A79">
      <w:r>
        <w:separator/>
      </w:r>
    </w:p>
  </w:endnote>
  <w:endnote w:type="continuationSeparator" w:id="0">
    <w:p w:rsidR="00051A79" w:rsidRDefault="0005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汉仪仿宋KW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6934605"/>
    </w:sdtPr>
    <w:sdtEndPr/>
    <w:sdtContent>
      <w:p w:rsidR="00837773" w:rsidRDefault="00DC351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F06" w:rsidRPr="00432F06">
          <w:rPr>
            <w:noProof/>
            <w:lang w:val="zh-CN"/>
          </w:rPr>
          <w:t>10</w:t>
        </w:r>
        <w:r>
          <w:fldChar w:fldCharType="end"/>
        </w:r>
      </w:p>
    </w:sdtContent>
  </w:sdt>
  <w:p w:rsidR="00837773" w:rsidRDefault="00837773">
    <w:pPr>
      <w:pStyle w:val="a3"/>
    </w:pPr>
  </w:p>
  <w:p w:rsidR="00837773" w:rsidRDefault="00837773"/>
  <w:p w:rsidR="00837773" w:rsidRDefault="00837773"/>
  <w:p w:rsidR="00837773" w:rsidRDefault="00837773"/>
  <w:p w:rsidR="00837773" w:rsidRDefault="0083777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A79" w:rsidRDefault="00051A79">
      <w:r>
        <w:separator/>
      </w:r>
    </w:p>
  </w:footnote>
  <w:footnote w:type="continuationSeparator" w:id="0">
    <w:p w:rsidR="00051A79" w:rsidRDefault="0005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78A991"/>
    <w:multiLevelType w:val="singleLevel"/>
    <w:tmpl w:val="8178A99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F7DB1A5C"/>
    <w:multiLevelType w:val="multilevel"/>
    <w:tmpl w:val="F7DB1A5C"/>
    <w:lvl w:ilvl="0">
      <w:start w:val="3"/>
      <w:numFmt w:val="chineseCounting"/>
      <w:suff w:val="nothing"/>
      <w:lvlText w:val="%1、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0AD"/>
    <w:rsid w:val="ABD3C4E1"/>
    <w:rsid w:val="BBFEFA54"/>
    <w:rsid w:val="CFFB227B"/>
    <w:rsid w:val="DF76FA75"/>
    <w:rsid w:val="EEF5351C"/>
    <w:rsid w:val="F3EF306C"/>
    <w:rsid w:val="FCFF624B"/>
    <w:rsid w:val="00051A79"/>
    <w:rsid w:val="000B6574"/>
    <w:rsid w:val="00144FC6"/>
    <w:rsid w:val="00222C3A"/>
    <w:rsid w:val="003612B5"/>
    <w:rsid w:val="00432F06"/>
    <w:rsid w:val="006066D4"/>
    <w:rsid w:val="006858EA"/>
    <w:rsid w:val="00752B29"/>
    <w:rsid w:val="00837773"/>
    <w:rsid w:val="00944802"/>
    <w:rsid w:val="0098571D"/>
    <w:rsid w:val="00A621AA"/>
    <w:rsid w:val="00BC05C2"/>
    <w:rsid w:val="00DC351C"/>
    <w:rsid w:val="00E110AD"/>
    <w:rsid w:val="00E54EC4"/>
    <w:rsid w:val="00F33EA7"/>
    <w:rsid w:val="00F93929"/>
    <w:rsid w:val="49969B1A"/>
    <w:rsid w:val="4F77E8FC"/>
    <w:rsid w:val="6765C744"/>
    <w:rsid w:val="6FE79AFA"/>
    <w:rsid w:val="7FD5B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64CE54A"/>
  <w15:docId w15:val="{3A09F4D4-B4C1-431E-99F3-1A59A9E5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8">
    <w:name w:val="Hyperlink"/>
    <w:basedOn w:val="a0"/>
    <w:qFormat/>
    <w:rPr>
      <w:color w:val="666666"/>
      <w:u w:val="non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msolistparagraph0">
    <w:name w:val="msolistparagraph"/>
    <w:basedOn w:val="a"/>
    <w:pPr>
      <w:ind w:firstLineChars="200" w:firstLine="420"/>
    </w:pPr>
    <w:rPr>
      <w:rFonts w:ascii="等线" w:eastAsia="等线" w:hAnsi="等线" w:hint="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2025-03-03T02:01:00Z</dcterms:created>
  <dcterms:modified xsi:type="dcterms:W3CDTF">2025-03-24T08:23:00Z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