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7F2" w:rsidRDefault="005A37F2" w:rsidP="005A37F2">
      <w:pPr>
        <w:ind w:firstLineChars="196" w:firstLine="627"/>
        <w:rPr>
          <w:rFonts w:eastAsia="黑体"/>
          <w:sz w:val="32"/>
          <w:szCs w:val="32"/>
        </w:rPr>
      </w:pPr>
      <w:r>
        <w:rPr>
          <w:rFonts w:eastAsia="黑体"/>
          <w:sz w:val="32"/>
          <w:szCs w:val="32"/>
        </w:rPr>
        <w:t>附件</w:t>
      </w:r>
      <w:r>
        <w:rPr>
          <w:rFonts w:eastAsia="黑体"/>
          <w:sz w:val="32"/>
          <w:szCs w:val="32"/>
        </w:rPr>
        <w:t>5</w:t>
      </w:r>
    </w:p>
    <w:p w:rsidR="005A37F2" w:rsidRDefault="005A37F2" w:rsidP="005A37F2">
      <w:pPr>
        <w:pStyle w:val="1"/>
        <w:spacing w:before="240" w:after="240" w:line="240" w:lineRule="auto"/>
        <w:jc w:val="center"/>
        <w:rPr>
          <w:rFonts w:ascii="Times New Roman" w:eastAsia="黑体" w:hAnsi="Times New Roman" w:cs="Times New Roman"/>
          <w:b w:val="0"/>
          <w:bCs w:val="0"/>
          <w:sz w:val="32"/>
          <w:szCs w:val="40"/>
        </w:rPr>
      </w:pPr>
      <w:bookmarkStart w:id="0" w:name="_GoBack"/>
      <w:r>
        <w:rPr>
          <w:rFonts w:ascii="Times New Roman" w:eastAsia="黑体" w:hAnsi="黑体" w:cs="Times New Roman"/>
          <w:b w:val="0"/>
          <w:bCs w:val="0"/>
          <w:sz w:val="32"/>
          <w:szCs w:val="40"/>
        </w:rPr>
        <w:t>最高人民法院、最高人民检察院关于办理组织考试作弊等刑事案件适用法律若干问题的解释</w:t>
      </w:r>
    </w:p>
    <w:bookmarkEnd w:id="0"/>
    <w:p w:rsidR="005A37F2" w:rsidRDefault="005A37F2" w:rsidP="005A37F2">
      <w:pPr>
        <w:pStyle w:val="a3"/>
        <w:snapToGrid w:val="0"/>
        <w:spacing w:line="450" w:lineRule="exact"/>
        <w:ind w:firstLineChars="200" w:firstLine="560"/>
        <w:rPr>
          <w:rFonts w:ascii="Times New Roman" w:hAnsi="Times New Roman"/>
          <w:sz w:val="28"/>
          <w:szCs w:val="28"/>
        </w:rPr>
      </w:pP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为依法惩治组织考试作弊、非法出售、提供试题、答案、代替考试等犯罪，维护考试公平与秩序，根据《中华人民共和国刑法》《中华人民共和国刑事诉讼法》的规定，现就办理此类刑事案件适用法律的若干问题解释如下</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第一条　刑法第二百八十四条之一规定的</w:t>
      </w:r>
      <w:r>
        <w:rPr>
          <w:rFonts w:ascii="Times New Roman" w:hAnsi="Times New Roman"/>
          <w:sz w:val="28"/>
          <w:szCs w:val="28"/>
        </w:rPr>
        <w:t>“</w:t>
      </w:r>
      <w:r>
        <w:rPr>
          <w:rFonts w:ascii="Times New Roman" w:hAnsi="Times New Roman"/>
          <w:sz w:val="28"/>
          <w:szCs w:val="28"/>
        </w:rPr>
        <w:t>法律规定的国家考试</w:t>
      </w:r>
      <w:r>
        <w:rPr>
          <w:rFonts w:ascii="Times New Roman" w:hAnsi="Times New Roman"/>
          <w:sz w:val="28"/>
          <w:szCs w:val="28"/>
        </w:rPr>
        <w:t>”</w:t>
      </w:r>
      <w:r>
        <w:rPr>
          <w:rFonts w:ascii="Times New Roman" w:hAnsi="Times New Roman"/>
          <w:sz w:val="28"/>
          <w:szCs w:val="28"/>
        </w:rPr>
        <w:t>，仅限于全国人民代表大会及其常务委员会制定的法律所规定的考试。</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根据有关法律规定，下列考试属于</w:t>
      </w:r>
      <w:r>
        <w:rPr>
          <w:rFonts w:ascii="Times New Roman" w:hAnsi="Times New Roman"/>
          <w:sz w:val="28"/>
          <w:szCs w:val="28"/>
        </w:rPr>
        <w:t>“</w:t>
      </w:r>
      <w:r>
        <w:rPr>
          <w:rFonts w:ascii="Times New Roman" w:hAnsi="Times New Roman"/>
          <w:sz w:val="28"/>
          <w:szCs w:val="28"/>
        </w:rPr>
        <w:t>法律规定的国家考试</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（一）普通高等学校招生考试、研究生招生考试、高等教育自学考试、成人高等学校招生考试等国家教育考试</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（二）中央和地方公务员录用考试</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三）国家统一法律职业资格考试、国家教师资格考试、注册会计师全国统一考试、会计专业技术资格考试、资产评估师资格考试、医师资格考试、执业药师职业资格考试、注册建筑师考试、建造师执业资格考试等专业技术资格考试</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（四）其他依照法律由中央或者地方主管部门以及行业组织的国家考试。</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前款规定的考试涉及的特殊类型招生、特殊技能测试、面试等考试，属于</w:t>
      </w:r>
      <w:r>
        <w:rPr>
          <w:rFonts w:ascii="Times New Roman" w:hAnsi="Times New Roman"/>
          <w:sz w:val="28"/>
          <w:szCs w:val="28"/>
        </w:rPr>
        <w:t>“</w:t>
      </w:r>
      <w:r>
        <w:rPr>
          <w:rFonts w:ascii="Times New Roman" w:hAnsi="Times New Roman"/>
          <w:sz w:val="28"/>
          <w:szCs w:val="28"/>
        </w:rPr>
        <w:t>法律规定的国家考试</w:t>
      </w:r>
      <w:r>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第二条　在法律规定的国家考试中，组织作弊，具有下列情形之一的，应当认定为刑法第二百八十四条之一第一款规定的</w:t>
      </w:r>
      <w:r>
        <w:rPr>
          <w:rFonts w:ascii="Times New Roman" w:hAnsi="Times New Roman"/>
          <w:sz w:val="28"/>
          <w:szCs w:val="28"/>
        </w:rPr>
        <w:t>“</w:t>
      </w:r>
      <w:r>
        <w:rPr>
          <w:rFonts w:ascii="Times New Roman" w:hAnsi="Times New Roman"/>
          <w:sz w:val="28"/>
          <w:szCs w:val="28"/>
        </w:rPr>
        <w:t>情节严重</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（一）在普通高等学校招生考试、研究生招生考试、公务员录用考试中组织考试作弊的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lastRenderedPageBreak/>
        <w:t>（二）导致考试推迟、取消或者启用备用试题的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（三）考试工作人员组织考试作弊的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（四）组织考生跨省、自治区、直辖市作弊的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（五）多次组织考试作弊的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（六）组织三十人次以上作弊的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（七）提供作弊器材五十件以上的</w:t>
      </w:r>
      <w:r>
        <w:rPr>
          <w:rFonts w:ascii="Times New Roman" w:hAnsi="Times New Roman"/>
          <w:sz w:val="28"/>
          <w:szCs w:val="28"/>
        </w:rPr>
        <w:t>;</w:t>
      </w:r>
      <w:r>
        <w:rPr>
          <w:rFonts w:ascii="Times New Roman" w:hAnsi="Times New Roman"/>
          <w:sz w:val="28"/>
          <w:szCs w:val="28"/>
        </w:rPr>
        <w:t xml:space="preserve">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（八）违法所得三十万元以上的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（九）其他情节严重的情形。</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第三条　具有避开或者突破考场防范作弊的安全管理措施，获取、记录、传递、接收、存储考试试题、答案等功能的程序、工具，以及专门设计用于作弊的程序、工具，应当认定为刑法第二百八十四条之一第二款规定的</w:t>
      </w:r>
      <w:r>
        <w:rPr>
          <w:rFonts w:ascii="Times New Roman" w:hAnsi="Times New Roman"/>
          <w:sz w:val="28"/>
          <w:szCs w:val="28"/>
        </w:rPr>
        <w:t>“</w:t>
      </w:r>
      <w:r>
        <w:rPr>
          <w:rFonts w:ascii="Times New Roman" w:hAnsi="Times New Roman"/>
          <w:sz w:val="28"/>
          <w:szCs w:val="28"/>
        </w:rPr>
        <w:t>作弊器材</w:t>
      </w:r>
      <w:r>
        <w:rPr>
          <w:rFonts w:ascii="Times New Roman" w:hAnsi="Times New Roman"/>
          <w:sz w:val="28"/>
          <w:szCs w:val="28"/>
        </w:rPr>
        <w:t>”</w:t>
      </w:r>
      <w:r>
        <w:rPr>
          <w:rFonts w:ascii="Times New Roman" w:hAnsi="Times New Roman"/>
          <w:sz w:val="28"/>
          <w:szCs w:val="28"/>
        </w:rPr>
        <w:t>。</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对于是否属于刑法第二百八十四条之一第二款规定的</w:t>
      </w:r>
      <w:r>
        <w:rPr>
          <w:rFonts w:ascii="Times New Roman" w:hAnsi="Times New Roman"/>
          <w:sz w:val="28"/>
          <w:szCs w:val="28"/>
        </w:rPr>
        <w:t>“</w:t>
      </w:r>
      <w:r>
        <w:rPr>
          <w:rFonts w:ascii="Times New Roman" w:hAnsi="Times New Roman"/>
          <w:sz w:val="28"/>
          <w:szCs w:val="28"/>
        </w:rPr>
        <w:t>作弊器材</w:t>
      </w:r>
      <w:r>
        <w:rPr>
          <w:rFonts w:ascii="Times New Roman" w:hAnsi="Times New Roman"/>
          <w:sz w:val="28"/>
          <w:szCs w:val="28"/>
        </w:rPr>
        <w:t>”</w:t>
      </w:r>
      <w:r>
        <w:rPr>
          <w:rFonts w:ascii="Times New Roman" w:hAnsi="Times New Roman"/>
          <w:sz w:val="28"/>
          <w:szCs w:val="28"/>
        </w:rPr>
        <w:t>难以确定的，依据省级以上公安机关或者考试主管部门出具的报告，结合其他证据</w:t>
      </w:r>
      <w:proofErr w:type="gramStart"/>
      <w:r>
        <w:rPr>
          <w:rFonts w:ascii="Times New Roman" w:hAnsi="Times New Roman"/>
          <w:sz w:val="28"/>
          <w:szCs w:val="28"/>
        </w:rPr>
        <w:t>作出</w:t>
      </w:r>
      <w:proofErr w:type="gramEnd"/>
      <w:r>
        <w:rPr>
          <w:rFonts w:ascii="Times New Roman" w:hAnsi="Times New Roman"/>
          <w:sz w:val="28"/>
          <w:szCs w:val="28"/>
        </w:rPr>
        <w:t>认定</w:t>
      </w:r>
      <w:r>
        <w:rPr>
          <w:rFonts w:ascii="Times New Roman" w:hAnsi="Times New Roman"/>
          <w:sz w:val="28"/>
          <w:szCs w:val="28"/>
        </w:rPr>
        <w:t>;</w:t>
      </w:r>
      <w:r>
        <w:rPr>
          <w:rFonts w:ascii="Times New Roman" w:hAnsi="Times New Roman"/>
          <w:sz w:val="28"/>
          <w:szCs w:val="28"/>
        </w:rPr>
        <w:t>涉及专用间谍器材、窃听、窃照专用器材、</w:t>
      </w:r>
      <w:r>
        <w:rPr>
          <w:rFonts w:ascii="Times New Roman" w:hAnsi="Times New Roman"/>
          <w:sz w:val="28"/>
          <w:szCs w:val="28"/>
        </w:rPr>
        <w:t>“</w:t>
      </w:r>
      <w:r>
        <w:rPr>
          <w:rFonts w:ascii="Times New Roman" w:hAnsi="Times New Roman"/>
          <w:sz w:val="28"/>
          <w:szCs w:val="28"/>
        </w:rPr>
        <w:t>伪基站</w:t>
      </w:r>
      <w:r>
        <w:rPr>
          <w:rFonts w:ascii="Times New Roman" w:hAnsi="Times New Roman"/>
          <w:sz w:val="28"/>
          <w:szCs w:val="28"/>
        </w:rPr>
        <w:t>”</w:t>
      </w:r>
      <w:r>
        <w:rPr>
          <w:rFonts w:ascii="Times New Roman" w:hAnsi="Times New Roman"/>
          <w:sz w:val="28"/>
          <w:szCs w:val="28"/>
        </w:rPr>
        <w:t>等器材的，依照相关规定</w:t>
      </w:r>
      <w:proofErr w:type="gramStart"/>
      <w:r>
        <w:rPr>
          <w:rFonts w:ascii="Times New Roman" w:hAnsi="Times New Roman"/>
          <w:sz w:val="28"/>
          <w:szCs w:val="28"/>
        </w:rPr>
        <w:t>作出</w:t>
      </w:r>
      <w:proofErr w:type="gramEnd"/>
      <w:r>
        <w:rPr>
          <w:rFonts w:ascii="Times New Roman" w:hAnsi="Times New Roman"/>
          <w:sz w:val="28"/>
          <w:szCs w:val="28"/>
        </w:rPr>
        <w:t>认定。</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第四条　组织考试作弊，在考试开始之前被查获，但已经非法获取考试试题、答案或者具有其他严重扰乱考试秩序情形的，应当认定为组织考试</w:t>
      </w:r>
      <w:proofErr w:type="gramStart"/>
      <w:r>
        <w:rPr>
          <w:rFonts w:ascii="Times New Roman" w:hAnsi="Times New Roman"/>
          <w:sz w:val="28"/>
          <w:szCs w:val="28"/>
        </w:rPr>
        <w:t>作弊罪既遂</w:t>
      </w:r>
      <w:proofErr w:type="gramEnd"/>
      <w:r>
        <w:rPr>
          <w:rFonts w:ascii="Times New Roman" w:hAnsi="Times New Roman"/>
          <w:sz w:val="28"/>
          <w:szCs w:val="28"/>
        </w:rPr>
        <w:t>。</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第五条　为实施考试作弊行为，非法出售或者提供法律规定的国家考试的试题、答案，具有下列情形之一的，应当认定为刑法第二百八十四条之一第三款规定的</w:t>
      </w:r>
      <w:r>
        <w:rPr>
          <w:rFonts w:ascii="Times New Roman" w:hAnsi="Times New Roman"/>
          <w:sz w:val="28"/>
          <w:szCs w:val="28"/>
        </w:rPr>
        <w:t>“</w:t>
      </w:r>
      <w:r>
        <w:rPr>
          <w:rFonts w:ascii="Times New Roman" w:hAnsi="Times New Roman"/>
          <w:sz w:val="28"/>
          <w:szCs w:val="28"/>
        </w:rPr>
        <w:t>情节严重</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（一）非法出售或者提供普通高等学校招生考试、研究生招生考试、公务员录用考试的试题、答案的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（二）导致考试推迟、取消或者启用备用试题的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（三）考试工作人员非法出售或者提供试题、答案的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（四）多次非法出售或者提供试题、答案的</w:t>
      </w:r>
      <w:r>
        <w:rPr>
          <w:rFonts w:ascii="Times New Roman" w:hAnsi="Times New Roman"/>
          <w:sz w:val="28"/>
          <w:szCs w:val="28"/>
        </w:rPr>
        <w:t>;</w:t>
      </w:r>
      <w:r>
        <w:rPr>
          <w:rFonts w:ascii="Times New Roman" w:hAnsi="Times New Roman"/>
          <w:sz w:val="28"/>
          <w:szCs w:val="28"/>
        </w:rPr>
        <w:t xml:space="preserve">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（五）向三十人次以上非法出售或者提供试题、答案的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（六）违法所得三十万元以上的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（七）其他情节严重的情形。</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第六条　为实施考试作弊行为，向他人非法出售或者提供法律规</w:t>
      </w:r>
      <w:r>
        <w:rPr>
          <w:rFonts w:ascii="Times New Roman" w:hAnsi="Times New Roman"/>
          <w:sz w:val="28"/>
          <w:szCs w:val="28"/>
        </w:rPr>
        <w:lastRenderedPageBreak/>
        <w:t>定的国家考试的试题、答案，试题不完整或者答案与标准答案不完全一致的，不影响非法出售、提供试题、答案罪的认定。</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第七条　代替他人或者让他人代替自己参加法律规定的国家考试的，应当依照刑法第二百八十四条之一第四款的规定，以代替考试罪定罪处罚。</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对于行为人犯罪情节较轻，确有悔罪表现，综合考虑行为人替考情况以及考试类型等因素，认为符合缓刑适用条件的，可以宣告缓刑</w:t>
      </w:r>
      <w:r>
        <w:rPr>
          <w:rFonts w:ascii="Times New Roman" w:hAnsi="Times New Roman"/>
          <w:sz w:val="28"/>
          <w:szCs w:val="28"/>
        </w:rPr>
        <w:t>;</w:t>
      </w:r>
      <w:r>
        <w:rPr>
          <w:rFonts w:ascii="Times New Roman" w:hAnsi="Times New Roman"/>
          <w:sz w:val="28"/>
          <w:szCs w:val="28"/>
        </w:rPr>
        <w:t>犯罪情节轻微的，可以不起诉或者免予刑事处罚</w:t>
      </w:r>
      <w:r>
        <w:rPr>
          <w:rFonts w:ascii="Times New Roman" w:hAnsi="Times New Roman"/>
          <w:sz w:val="28"/>
          <w:szCs w:val="28"/>
        </w:rPr>
        <w:t>;</w:t>
      </w:r>
      <w:r>
        <w:rPr>
          <w:rFonts w:ascii="Times New Roman" w:hAnsi="Times New Roman"/>
          <w:sz w:val="28"/>
          <w:szCs w:val="28"/>
        </w:rPr>
        <w:t>情节显著轻微危害不大的，不以犯罪论处。</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第八条　单位实施组织考试作弊、非法出售、提供试题、答案等行为的，依照本解释规定的相应定罪量刑标准，追究组织者、策划者、实施者的刑事责任。</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第九条　以窃取、刺探、收买方法非法获取法律规定的国家考试的试题、答案，又组织考试作弊或者非法出售、提供试题、答案，分别符合刑法第二百八十二条和刑法第二百八十四条之一规定的，以非法获取国家秘密罪和组织考试作弊罪或者非法出售、提供试题、答案罪数罪并罚。</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第十条　在法律规定的国家考试以外的其他考试中，组织作弊，为他人组织作弊提供作弊器材或者其他帮助，或者非法出售、提供试题、答案，符合非法获取国家秘密罪、非法生产、销售窃听、窃照专用器材罪、非法使用窃听、窃照专用器材罪、非法利用信息网络罪、扰乱无线电通讯管理秩序罪等犯罪构成要件的，依法追究刑事责任。</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第十一条　设立用于实施考试作弊的网站、通讯群组或者发布有关考试作弊的信息，情节严重的，应当依照刑法第二百八十七条之一的规定，以非法利用信息网络罪定罪处罚</w:t>
      </w:r>
      <w:r>
        <w:rPr>
          <w:rFonts w:ascii="Times New Roman" w:hAnsi="Times New Roman"/>
          <w:sz w:val="28"/>
          <w:szCs w:val="28"/>
        </w:rPr>
        <w:t>;</w:t>
      </w:r>
      <w:r>
        <w:rPr>
          <w:rFonts w:ascii="Times New Roman" w:hAnsi="Times New Roman"/>
          <w:sz w:val="28"/>
          <w:szCs w:val="28"/>
        </w:rPr>
        <w:t>同时构成组织考试作弊罪、非法出售、提供试题、答案罪、非法获取国家秘密罪等其他犯罪的，依照处罚较重的规定定罪处罚。</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第十二条　对于实施本解释规定的犯罪被判处刑罚的，可以根据犯罪情况和预防再犯罪的需要，依法宣告职业禁止</w:t>
      </w:r>
      <w:r>
        <w:rPr>
          <w:rFonts w:ascii="Times New Roman" w:hAnsi="Times New Roman"/>
          <w:sz w:val="28"/>
          <w:szCs w:val="28"/>
        </w:rPr>
        <w:t>;</w:t>
      </w:r>
      <w:r>
        <w:rPr>
          <w:rFonts w:ascii="Times New Roman" w:hAnsi="Times New Roman"/>
          <w:sz w:val="28"/>
          <w:szCs w:val="28"/>
        </w:rPr>
        <w:t>被判处管制、宣告缓刑的，可以根据犯罪情况，依法宣告禁止令。</w:t>
      </w:r>
      <w:r>
        <w:rPr>
          <w:rFonts w:ascii="Times New Roman" w:hAnsi="Times New Roman"/>
          <w:sz w:val="28"/>
          <w:szCs w:val="28"/>
        </w:rPr>
        <w:t> </w:t>
      </w:r>
    </w:p>
    <w:p w:rsidR="005A37F2" w:rsidRDefault="005A37F2" w:rsidP="005A37F2">
      <w:pPr>
        <w:pStyle w:val="a3"/>
        <w:snapToGrid w:val="0"/>
        <w:spacing w:line="450" w:lineRule="exact"/>
        <w:ind w:firstLineChars="200" w:firstLine="560"/>
        <w:rPr>
          <w:rFonts w:ascii="Times New Roman" w:hAnsi="Times New Roman"/>
          <w:sz w:val="28"/>
          <w:szCs w:val="28"/>
        </w:rPr>
      </w:pPr>
      <w:r>
        <w:rPr>
          <w:rFonts w:ascii="Times New Roman" w:hAnsi="Times New Roman"/>
          <w:sz w:val="28"/>
          <w:szCs w:val="28"/>
        </w:rPr>
        <w:t>第十三条　对于实施本解释规定的行为构成犯罪的，应当综合考</w:t>
      </w:r>
      <w:r>
        <w:rPr>
          <w:rFonts w:ascii="Times New Roman" w:hAnsi="Times New Roman"/>
          <w:sz w:val="28"/>
          <w:szCs w:val="28"/>
        </w:rPr>
        <w:lastRenderedPageBreak/>
        <w:t>虑犯罪的危害程度、违法所得数额以及被告人的前科情况、认罪悔罪态度等，依法判处罚金。</w:t>
      </w:r>
      <w:r>
        <w:rPr>
          <w:rFonts w:ascii="Times New Roman" w:hAnsi="Times New Roman"/>
          <w:sz w:val="28"/>
          <w:szCs w:val="28"/>
        </w:rPr>
        <w:t> </w:t>
      </w:r>
    </w:p>
    <w:p w:rsidR="00944698" w:rsidRDefault="005A37F2" w:rsidP="005A37F2">
      <w:r>
        <w:rPr>
          <w:sz w:val="28"/>
          <w:szCs w:val="28"/>
        </w:rPr>
        <w:t>第十四条　本</w:t>
      </w:r>
      <w:proofErr w:type="gramStart"/>
      <w:r>
        <w:rPr>
          <w:sz w:val="28"/>
          <w:szCs w:val="28"/>
        </w:rPr>
        <w:t>解释自</w:t>
      </w:r>
      <w:proofErr w:type="gramEnd"/>
      <w:r>
        <w:rPr>
          <w:sz w:val="28"/>
          <w:szCs w:val="28"/>
        </w:rPr>
        <w:t>2019</w:t>
      </w:r>
      <w:r>
        <w:rPr>
          <w:sz w:val="28"/>
          <w:szCs w:val="28"/>
        </w:rPr>
        <w:t>年</w:t>
      </w:r>
      <w:r>
        <w:rPr>
          <w:sz w:val="28"/>
          <w:szCs w:val="28"/>
        </w:rPr>
        <w:t>9</w:t>
      </w:r>
      <w:r>
        <w:rPr>
          <w:sz w:val="28"/>
          <w:szCs w:val="28"/>
        </w:rPr>
        <w:t>月</w:t>
      </w:r>
      <w:r>
        <w:rPr>
          <w:sz w:val="28"/>
          <w:szCs w:val="28"/>
        </w:rPr>
        <w:t>4</w:t>
      </w:r>
      <w:r>
        <w:rPr>
          <w:sz w:val="28"/>
          <w:szCs w:val="28"/>
        </w:rPr>
        <w:t>日起施行。</w:t>
      </w:r>
    </w:p>
    <w:sectPr w:rsidR="0094469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i">
    <w:altName w:val="微软雅黑"/>
    <w:charset w:val="50"/>
    <w:family w:val="auto"/>
    <w:pitch w:val="default"/>
    <w:sig w:usb0="00000000" w:usb1="00000000" w:usb2="00000010" w:usb3="00000000" w:csb0="0004001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7F2"/>
    <w:rsid w:val="005A37F2"/>
    <w:rsid w:val="005F5C68"/>
    <w:rsid w:val="009174C3"/>
    <w:rsid w:val="00C61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7F2"/>
    <w:pPr>
      <w:widowControl w:val="0"/>
      <w:jc w:val="both"/>
    </w:pPr>
    <w:rPr>
      <w:rFonts w:ascii="Times New Roman" w:eastAsia="宋体" w:hAnsi="Times New Roman" w:cs="Times New Roman"/>
      <w:szCs w:val="24"/>
    </w:rPr>
  </w:style>
  <w:style w:type="paragraph" w:styleId="1">
    <w:name w:val="heading 1"/>
    <w:basedOn w:val="a"/>
    <w:next w:val="a"/>
    <w:link w:val="1Char"/>
    <w:qFormat/>
    <w:rsid w:val="009174C3"/>
    <w:pPr>
      <w:keepNext/>
      <w:keepLines/>
      <w:widowControl/>
      <w:spacing w:before="340" w:after="330" w:line="578" w:lineRule="auto"/>
      <w:jc w:val="left"/>
      <w:outlineLvl w:val="0"/>
    </w:pPr>
    <w:rPr>
      <w:rFonts w:ascii="Cambria" w:eastAsiaTheme="majorEastAsia" w:hAnsi="Cambria" w:cstheme="minorBidi"/>
      <w:b/>
      <w:bCs/>
      <w:kern w:val="44"/>
      <w:sz w:val="28"/>
      <w:szCs w:val="44"/>
    </w:rPr>
  </w:style>
  <w:style w:type="paragraph" w:styleId="3">
    <w:name w:val="heading 3"/>
    <w:basedOn w:val="a"/>
    <w:next w:val="a"/>
    <w:link w:val="3Char"/>
    <w:qFormat/>
    <w:rsid w:val="009174C3"/>
    <w:pPr>
      <w:keepNext/>
      <w:keepLines/>
      <w:widowControl/>
      <w:spacing w:before="280"/>
      <w:jc w:val="left"/>
      <w:outlineLvl w:val="2"/>
    </w:pPr>
    <w:rPr>
      <w:rFonts w:ascii="Hei" w:eastAsiaTheme="majorEastAsia" w:hAnsi="Calibri" w:cstheme="min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9174C3"/>
    <w:rPr>
      <w:rFonts w:ascii="Cambria" w:eastAsiaTheme="majorEastAsia" w:hAnsi="Cambria"/>
      <w:b/>
      <w:bCs/>
      <w:kern w:val="44"/>
      <w:sz w:val="28"/>
      <w:szCs w:val="44"/>
    </w:rPr>
  </w:style>
  <w:style w:type="character" w:customStyle="1" w:styleId="3Char">
    <w:name w:val="标题 3 Char"/>
    <w:basedOn w:val="a0"/>
    <w:link w:val="3"/>
    <w:qFormat/>
    <w:rsid w:val="009174C3"/>
    <w:rPr>
      <w:rFonts w:ascii="Hei" w:eastAsiaTheme="majorEastAsia" w:hAnsi="Calibri"/>
      <w:b/>
      <w:bCs/>
      <w:sz w:val="24"/>
      <w:szCs w:val="24"/>
    </w:rPr>
  </w:style>
  <w:style w:type="paragraph" w:styleId="a3">
    <w:name w:val="Plain Text"/>
    <w:basedOn w:val="a"/>
    <w:link w:val="Char"/>
    <w:rsid w:val="005A37F2"/>
    <w:rPr>
      <w:rFonts w:ascii="宋体" w:hAnsi="Courier New"/>
    </w:rPr>
  </w:style>
  <w:style w:type="character" w:customStyle="1" w:styleId="Char">
    <w:name w:val="纯文本 Char"/>
    <w:basedOn w:val="a0"/>
    <w:link w:val="a3"/>
    <w:rsid w:val="005A37F2"/>
    <w:rPr>
      <w:rFonts w:ascii="宋体" w:eastAsia="宋体" w:hAnsi="Courier New"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7F2"/>
    <w:pPr>
      <w:widowControl w:val="0"/>
      <w:jc w:val="both"/>
    </w:pPr>
    <w:rPr>
      <w:rFonts w:ascii="Times New Roman" w:eastAsia="宋体" w:hAnsi="Times New Roman" w:cs="Times New Roman"/>
      <w:szCs w:val="24"/>
    </w:rPr>
  </w:style>
  <w:style w:type="paragraph" w:styleId="1">
    <w:name w:val="heading 1"/>
    <w:basedOn w:val="a"/>
    <w:next w:val="a"/>
    <w:link w:val="1Char"/>
    <w:qFormat/>
    <w:rsid w:val="009174C3"/>
    <w:pPr>
      <w:keepNext/>
      <w:keepLines/>
      <w:widowControl/>
      <w:spacing w:before="340" w:after="330" w:line="578" w:lineRule="auto"/>
      <w:jc w:val="left"/>
      <w:outlineLvl w:val="0"/>
    </w:pPr>
    <w:rPr>
      <w:rFonts w:ascii="Cambria" w:eastAsiaTheme="majorEastAsia" w:hAnsi="Cambria" w:cstheme="minorBidi"/>
      <w:b/>
      <w:bCs/>
      <w:kern w:val="44"/>
      <w:sz w:val="28"/>
      <w:szCs w:val="44"/>
    </w:rPr>
  </w:style>
  <w:style w:type="paragraph" w:styleId="3">
    <w:name w:val="heading 3"/>
    <w:basedOn w:val="a"/>
    <w:next w:val="a"/>
    <w:link w:val="3Char"/>
    <w:qFormat/>
    <w:rsid w:val="009174C3"/>
    <w:pPr>
      <w:keepNext/>
      <w:keepLines/>
      <w:widowControl/>
      <w:spacing w:before="280"/>
      <w:jc w:val="left"/>
      <w:outlineLvl w:val="2"/>
    </w:pPr>
    <w:rPr>
      <w:rFonts w:ascii="Hei" w:eastAsiaTheme="majorEastAsia" w:hAnsi="Calibri" w:cstheme="minorBidi"/>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9174C3"/>
    <w:rPr>
      <w:rFonts w:ascii="Cambria" w:eastAsiaTheme="majorEastAsia" w:hAnsi="Cambria"/>
      <w:b/>
      <w:bCs/>
      <w:kern w:val="44"/>
      <w:sz w:val="28"/>
      <w:szCs w:val="44"/>
    </w:rPr>
  </w:style>
  <w:style w:type="character" w:customStyle="1" w:styleId="3Char">
    <w:name w:val="标题 3 Char"/>
    <w:basedOn w:val="a0"/>
    <w:link w:val="3"/>
    <w:qFormat/>
    <w:rsid w:val="009174C3"/>
    <w:rPr>
      <w:rFonts w:ascii="Hei" w:eastAsiaTheme="majorEastAsia" w:hAnsi="Calibri"/>
      <w:b/>
      <w:bCs/>
      <w:sz w:val="24"/>
      <w:szCs w:val="24"/>
    </w:rPr>
  </w:style>
  <w:style w:type="paragraph" w:styleId="a3">
    <w:name w:val="Plain Text"/>
    <w:basedOn w:val="a"/>
    <w:link w:val="Char"/>
    <w:rsid w:val="005A37F2"/>
    <w:rPr>
      <w:rFonts w:ascii="宋体" w:hAnsi="Courier New"/>
    </w:rPr>
  </w:style>
  <w:style w:type="character" w:customStyle="1" w:styleId="Char">
    <w:name w:val="纯文本 Char"/>
    <w:basedOn w:val="a0"/>
    <w:link w:val="a3"/>
    <w:rsid w:val="005A37F2"/>
    <w:rPr>
      <w:rFonts w:ascii="宋体" w:eastAsia="宋体" w:hAnsi="Courier New"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2019-12-13T02:22:00Z</dcterms:created>
  <dcterms:modified xsi:type="dcterms:W3CDTF">2019-12-13T02:22:00Z</dcterms:modified>
</cp:coreProperties>
</file>