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0841E">
      <w:pPr>
        <w:pageBreakBefore w:val="0"/>
        <w:kinsoku/>
        <w:wordWrap/>
        <w:topLinePunct w:val="0"/>
        <w:bidi w:val="0"/>
        <w:adjustRightInd w:val="0"/>
        <w:snapToGrid w:val="0"/>
        <w:spacing w:line="560" w:lineRule="exact"/>
        <w:textAlignment w:val="auto"/>
        <w:rPr>
          <w:rFonts w:hint="eastAsia" w:ascii="Times New Roman" w:hAnsi="Times New Roman" w:eastAsia="仿宋" w:cs="仿宋"/>
          <w:sz w:val="32"/>
          <w:szCs w:val="32"/>
        </w:rPr>
      </w:pPr>
      <w:r>
        <w:rPr>
          <w:rFonts w:hint="eastAsia" w:ascii="Times New Roman" w:hAnsi="Times New Roman" w:eastAsia="黑体" w:cs="黑体"/>
          <w:sz w:val="32"/>
          <w:szCs w:val="32"/>
        </w:rPr>
        <w:t>附件2</w:t>
      </w:r>
    </w:p>
    <w:p w14:paraId="06BC1247">
      <w:pPr>
        <w:pageBreakBefore w:val="0"/>
        <w:widowControl/>
        <w:kinsoku/>
        <w:wordWrap/>
        <w:topLinePunct w:val="0"/>
        <w:bidi w:val="0"/>
        <w:adjustRightInd w:val="0"/>
        <w:snapToGrid w:val="0"/>
        <w:spacing w:line="360" w:lineRule="auto"/>
        <w:jc w:val="left"/>
        <w:textAlignment w:val="auto"/>
        <w:rPr>
          <w:rFonts w:hint="eastAsia" w:ascii="Times New Roman" w:hAnsi="Times New Roman" w:eastAsia="仿宋_GB2312"/>
          <w:kern w:val="0"/>
          <w:sz w:val="32"/>
          <w:szCs w:val="32"/>
        </w:rPr>
      </w:pPr>
    </w:p>
    <w:p w14:paraId="7E0A1C92">
      <w:pPr>
        <w:pageBreakBefore w:val="0"/>
        <w:kinsoku/>
        <w:wordWrap/>
        <w:topLinePunct w:val="0"/>
        <w:bidi w:val="0"/>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浙江省大学生法律职业能力竞赛</w:t>
      </w:r>
    </w:p>
    <w:p w14:paraId="4E700573">
      <w:pPr>
        <w:pageBreakBefore w:val="0"/>
        <w:tabs>
          <w:tab w:val="center" w:pos="4153"/>
          <w:tab w:val="left" w:pos="6300"/>
        </w:tabs>
        <w:kinsoku/>
        <w:wordWrap/>
        <w:topLinePunct w:val="0"/>
        <w:bidi w:val="0"/>
        <w:spacing w:after="240"/>
        <w:jc w:val="left"/>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ab/>
      </w:r>
      <w:r>
        <w:rPr>
          <w:rFonts w:hint="eastAsia" w:ascii="Times New Roman" w:hAnsi="Times New Roman" w:eastAsia="方正小标宋简体"/>
          <w:sz w:val="44"/>
          <w:szCs w:val="44"/>
        </w:rPr>
        <w:t>模拟法庭类竞赛规则</w:t>
      </w:r>
    </w:p>
    <w:p w14:paraId="270FC122">
      <w:pPr>
        <w:pageBreakBefore w:val="0"/>
        <w:kinsoku/>
        <w:wordWrap/>
        <w:topLinePunct w:val="0"/>
        <w:bidi w:val="0"/>
        <w:spacing w:line="360" w:lineRule="auto"/>
        <w:jc w:val="center"/>
        <w:textAlignment w:val="auto"/>
        <w:rPr>
          <w:rFonts w:ascii="Times New Roman" w:hAnsi="Times New Roman" w:eastAsia="黑体"/>
          <w:sz w:val="32"/>
          <w:szCs w:val="32"/>
        </w:rPr>
      </w:pPr>
      <w:r>
        <w:rPr>
          <w:rFonts w:hint="eastAsia" w:ascii="Times New Roman" w:hAnsi="Times New Roman" w:eastAsia="黑体"/>
          <w:sz w:val="32"/>
          <w:szCs w:val="32"/>
        </w:rPr>
        <w:t>第一章 竞赛特点、领导机构与承办方</w:t>
      </w:r>
    </w:p>
    <w:p w14:paraId="7057EC27">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第一条[竞赛特点] </w:t>
      </w:r>
      <w:r>
        <w:rPr>
          <w:rFonts w:hint="eastAsia" w:ascii="Times New Roman" w:hAnsi="Times New Roman" w:eastAsia="仿宋_GB2312"/>
          <w:sz w:val="32"/>
          <w:szCs w:val="32"/>
        </w:rPr>
        <w:t>浙江省大学生法律职业能力竞赛——模拟法庭类竞赛，通过案情分析、角色划分、法律文书准备、预演、正式开庭、法庭审理、判决等环节模拟刑事、民事、</w:t>
      </w:r>
      <w:r>
        <w:rPr>
          <w:rFonts w:ascii="Times New Roman" w:hAnsi="Times New Roman"/>
          <w:sz w:val="32"/>
          <w:szCs w:val="32"/>
        </w:rPr>
        <w:fldChar w:fldCharType="begin"/>
      </w:r>
      <w:r>
        <w:rPr>
          <w:rFonts w:ascii="Times New Roman" w:hAnsi="Times New Roman"/>
          <w:sz w:val="32"/>
          <w:szCs w:val="32"/>
        </w:rPr>
        <w:instrText xml:space="preserve"> HYPERLINK "http://baike.baidu.com/view/1527325.htm" \t "_blank" </w:instrText>
      </w:r>
      <w:r>
        <w:rPr>
          <w:rFonts w:ascii="Times New Roman" w:hAnsi="Times New Roman"/>
          <w:sz w:val="32"/>
          <w:szCs w:val="32"/>
        </w:rPr>
        <w:fldChar w:fldCharType="separate"/>
      </w:r>
      <w:r>
        <w:rPr>
          <w:rFonts w:hint="eastAsia" w:ascii="Times New Roman" w:hAnsi="Times New Roman" w:eastAsia="仿宋_GB2312"/>
          <w:sz w:val="32"/>
          <w:szCs w:val="32"/>
        </w:rPr>
        <w:t>行政案件审判</w:t>
      </w:r>
      <w:r>
        <w:rPr>
          <w:rFonts w:hint="eastAsia" w:ascii="Times New Roman" w:hAnsi="Times New Roman" w:eastAsia="仿宋_GB2312"/>
          <w:sz w:val="32"/>
          <w:szCs w:val="32"/>
        </w:rPr>
        <w:fldChar w:fldCharType="end"/>
      </w:r>
      <w:r>
        <w:rPr>
          <w:rFonts w:hint="eastAsia" w:ascii="Times New Roman" w:hAnsi="Times New Roman" w:eastAsia="仿宋_GB2312"/>
          <w:sz w:val="32"/>
          <w:szCs w:val="32"/>
        </w:rPr>
        <w:t>过程，为大学生搭建运用和实践法学理论的场地和平台，提高大学生综合利用法律知识解决问题的实践能力和法律文书写作运用能力，培育大学生的角色意识、法律思维、合作能力和实践精神。</w:t>
      </w:r>
    </w:p>
    <w:p w14:paraId="08F15B5E">
      <w:pPr>
        <w:pageBreakBefore w:val="0"/>
        <w:kinsoku/>
        <w:wordWrap/>
        <w:topLinePunct w:val="0"/>
        <w:bidi w:val="0"/>
        <w:spacing w:line="360" w:lineRule="auto"/>
        <w:ind w:firstLine="643" w:firstLineChars="200"/>
        <w:textAlignment w:val="auto"/>
        <w:rPr>
          <w:rFonts w:ascii="Times New Roman" w:hAnsi="Times New Roman"/>
          <w:sz w:val="32"/>
          <w:szCs w:val="32"/>
        </w:rPr>
      </w:pPr>
      <w:r>
        <w:rPr>
          <w:rFonts w:hint="eastAsia" w:ascii="Times New Roman" w:hAnsi="Times New Roman" w:eastAsia="楷体_GB2312"/>
          <w:b/>
          <w:sz w:val="32"/>
          <w:szCs w:val="32"/>
        </w:rPr>
        <w:t xml:space="preserve">第二条[领导机构] </w:t>
      </w:r>
      <w:r>
        <w:rPr>
          <w:rFonts w:hint="eastAsia" w:ascii="Times New Roman" w:hAnsi="Times New Roman" w:eastAsia="仿宋_GB2312"/>
          <w:sz w:val="32"/>
          <w:szCs w:val="32"/>
        </w:rPr>
        <w:t>竞赛在浙江省大学生法律职业能力竞赛委员会的组织和领导下举行。</w:t>
      </w:r>
    </w:p>
    <w:p w14:paraId="595B40D1">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第三条[承办] </w:t>
      </w:r>
      <w:r>
        <w:rPr>
          <w:rFonts w:hint="eastAsia" w:ascii="Times New Roman" w:hAnsi="Times New Roman" w:eastAsia="仿宋_GB2312"/>
          <w:sz w:val="32"/>
          <w:szCs w:val="32"/>
        </w:rPr>
        <w:t>竞赛由浙江省教育厅、浙江省大学生科技竞赛委员会主办，浙江工商大学为秘书处单位。省内法学院校可以向竞赛委员会提出承办申请，由竞赛委员会决定。</w:t>
      </w:r>
    </w:p>
    <w:p w14:paraId="4B641B0E">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本竞赛每两年举办一次。</w:t>
      </w:r>
    </w:p>
    <w:p w14:paraId="24FE74C1">
      <w:pPr>
        <w:pageBreakBefore w:val="0"/>
        <w:kinsoku/>
        <w:wordWrap/>
        <w:topLinePunct w:val="0"/>
        <w:bidi w:val="0"/>
        <w:spacing w:before="240" w:line="360" w:lineRule="auto"/>
        <w:jc w:val="center"/>
        <w:textAlignment w:val="auto"/>
        <w:rPr>
          <w:rFonts w:ascii="Times New Roman" w:hAnsi="Times New Roman" w:eastAsia="黑体"/>
          <w:sz w:val="32"/>
          <w:szCs w:val="32"/>
        </w:rPr>
      </w:pPr>
      <w:r>
        <w:rPr>
          <w:rFonts w:hint="eastAsia" w:ascii="Times New Roman" w:hAnsi="Times New Roman" w:eastAsia="黑体"/>
          <w:sz w:val="32"/>
          <w:szCs w:val="32"/>
        </w:rPr>
        <w:t>第二章 参赛对象、原则与赛制</w:t>
      </w:r>
    </w:p>
    <w:p w14:paraId="5455D943">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第四条[参赛对象]</w:t>
      </w:r>
      <w:r>
        <w:rPr>
          <w:rFonts w:hint="eastAsia" w:ascii="Times New Roman" w:hAnsi="Times New Roman"/>
          <w:sz w:val="32"/>
          <w:szCs w:val="32"/>
        </w:rPr>
        <w:t xml:space="preserve"> </w:t>
      </w:r>
      <w:r>
        <w:rPr>
          <w:rFonts w:hint="eastAsia" w:ascii="Times New Roman" w:hAnsi="Times New Roman" w:eastAsia="仿宋_GB2312"/>
          <w:sz w:val="32"/>
          <w:szCs w:val="32"/>
        </w:rPr>
        <w:t>参赛学生必须是浙江省高校普通全日制在校本专科法学学科（含法学、知识产权和狱政学等专业）的学生。学生参赛资格须由所在学校教务处审核。</w:t>
      </w:r>
    </w:p>
    <w:p w14:paraId="0DF8B634">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第五条[参赛原则] </w:t>
      </w:r>
      <w:r>
        <w:rPr>
          <w:rFonts w:hint="eastAsia" w:ascii="Times New Roman" w:hAnsi="Times New Roman" w:eastAsia="仿宋_GB2312"/>
          <w:sz w:val="32"/>
          <w:szCs w:val="32"/>
        </w:rPr>
        <w:t>竞赛本着“学生本位、重在参与”的原则组织进行。省内各法学院校根据自愿的原则组队参加竞赛。</w:t>
      </w:r>
    </w:p>
    <w:p w14:paraId="7D28D32C">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第六条[赛程赛制] </w:t>
      </w:r>
      <w:r>
        <w:rPr>
          <w:rFonts w:hint="eastAsia" w:ascii="Times New Roman" w:hAnsi="Times New Roman" w:eastAsia="仿宋_GB2312"/>
          <w:sz w:val="32"/>
          <w:szCs w:val="32"/>
        </w:rPr>
        <w:t>竞赛分初赛、决赛两个阶段进行，初赛由参赛院系自行组织；决赛由浙江省大学生法律职业能力竞赛秘书处学校和具体承办学校组织，参赛队伍根据抽签确定的案件及角色分配两两现场对阵比赛。</w:t>
      </w:r>
    </w:p>
    <w:p w14:paraId="788E0628">
      <w:pPr>
        <w:pageBreakBefore w:val="0"/>
        <w:kinsoku/>
        <w:wordWrap/>
        <w:topLinePunct w:val="0"/>
        <w:bidi w:val="0"/>
        <w:spacing w:line="360" w:lineRule="auto"/>
        <w:ind w:firstLine="579" w:firstLineChars="181"/>
        <w:textAlignment w:val="auto"/>
        <w:rPr>
          <w:rFonts w:ascii="Times New Roman" w:hAnsi="Times New Roman" w:eastAsia="仿宋_GB2312"/>
          <w:sz w:val="32"/>
          <w:szCs w:val="32"/>
        </w:rPr>
      </w:pPr>
      <w:r>
        <w:rPr>
          <w:rFonts w:hint="eastAsia" w:ascii="Times New Roman" w:hAnsi="Times New Roman" w:eastAsia="仿宋_GB2312"/>
          <w:sz w:val="32"/>
          <w:szCs w:val="32"/>
        </w:rPr>
        <w:t>根据最终报名确认参赛队伍数，如遇报名队伍总数不能被4整除时，若少1支队伍，则由当届辩论赛承办院校在校内选拨赛中再选择一支队伍报名参赛；若少2支队伍，则由当届另一项赛事承办院校在校内选拔赛中再选择一支队伍报名参赛；若少3支队伍，则由竞赛秘书处院校在校内选拔赛中再选择一支队伍报名参赛。竞赛分A、B两组分别同时进行，取A、B两组的前两名再交叉进行对决胜方为一等奖、负方为二等奖，每组其它队分别按决赛成绩从高到低排序确定其余奖项。（注：取A、B两组前二名交叉对决比赛时如有队伍放弃，放弃者将失去获奖资格，名额自动由本组中排名下一位的队伍代替。）</w:t>
      </w:r>
    </w:p>
    <w:p w14:paraId="06C55902">
      <w:pPr>
        <w:pageBreakBefore w:val="0"/>
        <w:kinsoku/>
        <w:wordWrap/>
        <w:topLinePunct w:val="0"/>
        <w:bidi w:val="0"/>
        <w:spacing w:before="240" w:line="360" w:lineRule="auto"/>
        <w:jc w:val="center"/>
        <w:textAlignment w:val="auto"/>
        <w:rPr>
          <w:rFonts w:ascii="Times New Roman" w:hAnsi="Times New Roman" w:eastAsia="黑体"/>
          <w:sz w:val="32"/>
          <w:szCs w:val="32"/>
        </w:rPr>
      </w:pPr>
      <w:r>
        <w:rPr>
          <w:rFonts w:hint="eastAsia" w:ascii="Times New Roman" w:hAnsi="Times New Roman" w:eastAsia="黑体"/>
          <w:sz w:val="32"/>
          <w:szCs w:val="32"/>
        </w:rPr>
        <w:t>第三章 参赛队伍与资格确认</w:t>
      </w:r>
    </w:p>
    <w:p w14:paraId="55EC79A5">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第七条[队伍组成与挑选]</w:t>
      </w:r>
      <w:r>
        <w:rPr>
          <w:rFonts w:hint="eastAsia" w:ascii="Times New Roman" w:hAnsi="Times New Roman"/>
          <w:sz w:val="32"/>
          <w:szCs w:val="32"/>
        </w:rPr>
        <w:t xml:space="preserve"> </w:t>
      </w:r>
      <w:r>
        <w:rPr>
          <w:rFonts w:hint="eastAsia" w:ascii="Times New Roman" w:hAnsi="Times New Roman" w:eastAsia="仿宋_GB2312"/>
          <w:sz w:val="32"/>
          <w:szCs w:val="32"/>
        </w:rPr>
        <w:t>各学校必须在校内选拔赛的基础上推荐参加省赛名额。参赛学校每校限报1个队，每个队至少4位且不超过 8位学生，指导老师不超过 2名。各参赛队伍报名截止后，相关信息原则上不得修改，不得增减及更换队员。</w:t>
      </w:r>
    </w:p>
    <w:p w14:paraId="04B29CD3">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独立学院作为独立参赛单位。</w:t>
      </w:r>
    </w:p>
    <w:p w14:paraId="524EE87B">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书记员、法警等司法辅助人员由承办院校选拨、指派。</w:t>
      </w:r>
    </w:p>
    <w:p w14:paraId="43A492CE">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第八条[报名时间及方式] </w:t>
      </w:r>
      <w:r>
        <w:rPr>
          <w:rFonts w:hint="eastAsia" w:ascii="Times New Roman" w:hAnsi="Times New Roman" w:eastAsia="仿宋_GB2312"/>
          <w:sz w:val="32"/>
          <w:szCs w:val="32"/>
        </w:rPr>
        <w:t>各参赛学校和参赛队伍应在规定的报名期限内，在竞赛官网完成报名，逾期不予受理。</w:t>
      </w:r>
    </w:p>
    <w:p w14:paraId="41B88556">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第九条[指导与咨询] </w:t>
      </w:r>
      <w:r>
        <w:rPr>
          <w:rFonts w:hint="eastAsia" w:ascii="Times New Roman" w:hAnsi="Times New Roman" w:eastAsia="仿宋_GB2312"/>
          <w:sz w:val="32"/>
          <w:szCs w:val="32"/>
        </w:rPr>
        <w:t>竞赛所有相关赛务（案件分析、课题研究、书状撰写以及言词辩论等）均应由参赛队员单独或合作完成。</w:t>
      </w:r>
    </w:p>
    <w:p w14:paraId="52794A0C">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参赛队员可以接受指导老师以及其他专家和学者的指导。指导老师的指导可以包括为参赛队员讲解有关的法律基本知识，提供有关的资料和辩论技巧。</w:t>
      </w:r>
    </w:p>
    <w:p w14:paraId="434A59CD">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除各队的指导老师外，参赛队伍也可以向其他专家和学者进行咨询，咨询内容以法律基本知识为限。</w:t>
      </w:r>
    </w:p>
    <w:p w14:paraId="73D9262D">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第十条[案例的公布和角色的分配] </w:t>
      </w:r>
      <w:r>
        <w:rPr>
          <w:rFonts w:hint="eastAsia" w:ascii="Times New Roman" w:hAnsi="Times New Roman" w:eastAsia="仿宋_GB2312"/>
          <w:sz w:val="32"/>
          <w:szCs w:val="32"/>
        </w:rPr>
        <w:t>竞赛办公室于决赛前一个月公布案例，并抽签决定角色分配。</w:t>
      </w:r>
    </w:p>
    <w:p w14:paraId="23D95A61">
      <w:pPr>
        <w:pageBreakBefore w:val="0"/>
        <w:kinsoku/>
        <w:wordWrap/>
        <w:topLinePunct w:val="0"/>
        <w:bidi w:val="0"/>
        <w:spacing w:before="240" w:line="360" w:lineRule="auto"/>
        <w:jc w:val="center"/>
        <w:textAlignment w:val="auto"/>
        <w:rPr>
          <w:rFonts w:ascii="Times New Roman" w:hAnsi="Times New Roman" w:eastAsia="黑体"/>
          <w:sz w:val="32"/>
          <w:szCs w:val="32"/>
        </w:rPr>
      </w:pPr>
      <w:r>
        <w:rPr>
          <w:rFonts w:hint="eastAsia" w:ascii="Times New Roman" w:hAnsi="Times New Roman" w:eastAsia="黑体"/>
          <w:sz w:val="32"/>
          <w:szCs w:val="32"/>
        </w:rPr>
        <w:t>第四章 竞赛流程</w:t>
      </w:r>
    </w:p>
    <w:p w14:paraId="50327A0B">
      <w:pPr>
        <w:pageBreakBefore w:val="0"/>
        <w:kinsoku/>
        <w:wordWrap/>
        <w:topLinePunct w:val="0"/>
        <w:bidi w:val="0"/>
        <w:spacing w:line="360" w:lineRule="auto"/>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（一）初赛</w:t>
      </w:r>
    </w:p>
    <w:p w14:paraId="17141E00">
      <w:pPr>
        <w:pageBreakBefore w:val="0"/>
        <w:kinsoku/>
        <w:wordWrap/>
        <w:topLinePunct w:val="0"/>
        <w:bidi w:val="0"/>
        <w:spacing w:line="360" w:lineRule="auto"/>
        <w:ind w:firstLine="643" w:firstLineChars="200"/>
        <w:textAlignment w:val="auto"/>
        <w:rPr>
          <w:rFonts w:ascii="Times New Roman" w:hAnsi="Times New Roman" w:eastAsia="仿宋_GB2312"/>
          <w:b/>
          <w:sz w:val="32"/>
          <w:szCs w:val="32"/>
        </w:rPr>
      </w:pPr>
      <w:r>
        <w:rPr>
          <w:rFonts w:hint="eastAsia" w:ascii="Times New Roman" w:hAnsi="Times New Roman" w:eastAsia="楷体_GB2312"/>
          <w:b/>
          <w:sz w:val="32"/>
          <w:szCs w:val="32"/>
        </w:rPr>
        <w:t xml:space="preserve">第十一条[初赛] </w:t>
      </w:r>
      <w:r>
        <w:rPr>
          <w:rFonts w:hint="eastAsia" w:ascii="Times New Roman" w:hAnsi="Times New Roman" w:eastAsia="仿宋_GB2312"/>
          <w:sz w:val="32"/>
          <w:szCs w:val="32"/>
        </w:rPr>
        <w:t>初赛由各参赛学校自行组织，在完成校内选拔的基础上推荐参加省赛名额。</w:t>
      </w:r>
    </w:p>
    <w:p w14:paraId="04C412F4">
      <w:pPr>
        <w:pageBreakBefore w:val="0"/>
        <w:kinsoku/>
        <w:wordWrap/>
        <w:topLinePunct w:val="0"/>
        <w:bidi w:val="0"/>
        <w:spacing w:line="360" w:lineRule="auto"/>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（二）决赛</w:t>
      </w:r>
    </w:p>
    <w:p w14:paraId="27ED3907">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第十二条[案件确定] </w:t>
      </w:r>
      <w:r>
        <w:rPr>
          <w:rFonts w:hint="eastAsia" w:ascii="Times New Roman" w:hAnsi="Times New Roman" w:eastAsia="仿宋_GB2312"/>
          <w:sz w:val="32"/>
          <w:szCs w:val="32"/>
        </w:rPr>
        <w:t>模拟法庭案例为刑事类、民事类或者行政类案件。案例均来自司法实践中的真实案件，由竞赛秘书处负责至司法机关调取案件，并提供案件主要证据材料。</w:t>
      </w:r>
    </w:p>
    <w:p w14:paraId="2720930D">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选取的案例应符合以下条件：</w:t>
      </w:r>
    </w:p>
    <w:p w14:paraId="6E2ADC45">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1．案件应当来自司法实践中发生的真实案件，具有真实性和客观性；</w:t>
      </w:r>
    </w:p>
    <w:p w14:paraId="3372413F">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2．案件应当具有基本的证据材料；</w:t>
      </w:r>
    </w:p>
    <w:p w14:paraId="5BBAADC3">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3．案件具有可辩性。</w:t>
      </w:r>
    </w:p>
    <w:p w14:paraId="05DD50A1">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专家委员会负责对竞赛案例进行审查和确定。各参赛队伍对于各轮竞赛所使用的赛题中的事实如有不明之处，应于案件公布之日起三日内向竞赛办公室反映，竞赛办公室应于收到请求后三日内转专家委员会作出解释并提出处理意见，正式竞赛中所使用的事实以修正后的内容为标准。</w:t>
      </w:r>
    </w:p>
    <w:p w14:paraId="3ECAA103">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第十三条[竞赛流程] </w:t>
      </w:r>
      <w:r>
        <w:rPr>
          <w:rFonts w:hint="eastAsia" w:ascii="Times New Roman" w:hAnsi="Times New Roman" w:eastAsia="仿宋_GB2312"/>
          <w:sz w:val="32"/>
          <w:szCs w:val="32"/>
        </w:rPr>
        <w:t>竞赛遵守如下流程：</w:t>
      </w:r>
    </w:p>
    <w:p w14:paraId="0E35A05C">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竞赛办公室向</w:t>
      </w:r>
      <w:r>
        <w:rPr>
          <w:rFonts w:hint="eastAsia" w:ascii="Times New Roman" w:hAnsi="Times New Roman" w:eastAsia="仿宋_GB2312"/>
          <w:sz w:val="32"/>
          <w:szCs w:val="32"/>
        </w:rPr>
        <w:t>起诉方</w:t>
      </w:r>
      <w:r>
        <w:rPr>
          <w:rFonts w:ascii="Times New Roman" w:hAnsi="Times New Roman" w:eastAsia="仿宋_GB2312"/>
          <w:sz w:val="32"/>
          <w:szCs w:val="32"/>
        </w:rPr>
        <w:t>组长邮箱发赛题</w:t>
      </w:r>
      <w:r>
        <w:rPr>
          <w:rFonts w:hint="eastAsia" w:ascii="Times New Roman" w:hAnsi="Times New Roman" w:eastAsia="仿宋_GB2312"/>
          <w:sz w:val="32"/>
          <w:szCs w:val="32"/>
        </w:rPr>
        <w:t>并公布案件。</w:t>
      </w:r>
    </w:p>
    <w:p w14:paraId="25E9F80B">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2．起诉方登录竞赛网上传起诉文书。</w:t>
      </w:r>
    </w:p>
    <w:p w14:paraId="7E539A6D">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竞赛办公室向被</w:t>
      </w:r>
      <w:r>
        <w:rPr>
          <w:rFonts w:hint="eastAsia" w:ascii="Times New Roman" w:hAnsi="Times New Roman" w:eastAsia="仿宋_GB2312"/>
          <w:sz w:val="32"/>
          <w:szCs w:val="32"/>
        </w:rPr>
        <w:t>诉</w:t>
      </w:r>
      <w:r>
        <w:rPr>
          <w:rFonts w:ascii="Times New Roman" w:hAnsi="Times New Roman" w:eastAsia="仿宋_GB2312"/>
          <w:sz w:val="32"/>
          <w:szCs w:val="32"/>
        </w:rPr>
        <w:t>方组长邮箱发赛题并</w:t>
      </w:r>
      <w:r>
        <w:rPr>
          <w:rFonts w:hint="eastAsia" w:ascii="Times New Roman" w:hAnsi="Times New Roman" w:eastAsia="仿宋_GB2312"/>
          <w:sz w:val="32"/>
          <w:szCs w:val="32"/>
        </w:rPr>
        <w:t>向被诉方</w:t>
      </w:r>
      <w:r>
        <w:rPr>
          <w:rFonts w:ascii="Times New Roman" w:hAnsi="Times New Roman" w:eastAsia="仿宋_GB2312"/>
          <w:sz w:val="32"/>
          <w:szCs w:val="32"/>
        </w:rPr>
        <w:t>转发</w:t>
      </w:r>
      <w:r>
        <w:rPr>
          <w:rFonts w:hint="eastAsia" w:ascii="Times New Roman" w:hAnsi="Times New Roman" w:eastAsia="仿宋_GB2312"/>
          <w:sz w:val="32"/>
          <w:szCs w:val="32"/>
        </w:rPr>
        <w:t>起诉方</w:t>
      </w:r>
      <w:r>
        <w:rPr>
          <w:rFonts w:ascii="Times New Roman" w:hAnsi="Times New Roman" w:eastAsia="仿宋_GB2312"/>
          <w:sz w:val="32"/>
          <w:szCs w:val="32"/>
        </w:rPr>
        <w:t>起诉</w:t>
      </w:r>
      <w:r>
        <w:rPr>
          <w:rFonts w:hint="eastAsia" w:ascii="Times New Roman" w:hAnsi="Times New Roman" w:eastAsia="仿宋_GB2312"/>
          <w:sz w:val="32"/>
          <w:szCs w:val="32"/>
        </w:rPr>
        <w:t>文书。</w:t>
      </w:r>
    </w:p>
    <w:p w14:paraId="5B10EEA1">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被</w:t>
      </w:r>
      <w:r>
        <w:rPr>
          <w:rFonts w:hint="eastAsia" w:ascii="Times New Roman" w:hAnsi="Times New Roman" w:eastAsia="仿宋_GB2312"/>
          <w:sz w:val="32"/>
          <w:szCs w:val="32"/>
        </w:rPr>
        <w:t>诉</w:t>
      </w:r>
      <w:r>
        <w:rPr>
          <w:rFonts w:ascii="Times New Roman" w:hAnsi="Times New Roman" w:eastAsia="仿宋_GB2312"/>
          <w:sz w:val="32"/>
          <w:szCs w:val="32"/>
        </w:rPr>
        <w:t>方登入竞赛网上传答辩</w:t>
      </w:r>
      <w:r>
        <w:rPr>
          <w:rFonts w:hint="eastAsia" w:ascii="Times New Roman" w:hAnsi="Times New Roman" w:eastAsia="仿宋_GB2312"/>
          <w:sz w:val="32"/>
          <w:szCs w:val="32"/>
        </w:rPr>
        <w:t>文书。</w:t>
      </w:r>
    </w:p>
    <w:p w14:paraId="36B98571">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竞赛办公室向</w:t>
      </w:r>
      <w:r>
        <w:rPr>
          <w:rFonts w:hint="eastAsia" w:ascii="Times New Roman" w:hAnsi="Times New Roman" w:eastAsia="仿宋_GB2312"/>
          <w:sz w:val="32"/>
          <w:szCs w:val="32"/>
        </w:rPr>
        <w:t>起诉</w:t>
      </w:r>
      <w:r>
        <w:rPr>
          <w:rFonts w:ascii="Times New Roman" w:hAnsi="Times New Roman" w:eastAsia="仿宋_GB2312"/>
          <w:sz w:val="32"/>
          <w:szCs w:val="32"/>
        </w:rPr>
        <w:t>方组长邮箱</w:t>
      </w:r>
      <w:r>
        <w:rPr>
          <w:rFonts w:hint="eastAsia" w:ascii="Times New Roman" w:hAnsi="Times New Roman" w:eastAsia="仿宋_GB2312"/>
          <w:sz w:val="32"/>
          <w:szCs w:val="32"/>
        </w:rPr>
        <w:t>转</w:t>
      </w:r>
      <w:r>
        <w:rPr>
          <w:rFonts w:ascii="Times New Roman" w:hAnsi="Times New Roman" w:eastAsia="仿宋_GB2312"/>
          <w:sz w:val="32"/>
          <w:szCs w:val="32"/>
        </w:rPr>
        <w:t>发答辩</w:t>
      </w:r>
      <w:r>
        <w:rPr>
          <w:rFonts w:hint="eastAsia" w:ascii="Times New Roman" w:hAnsi="Times New Roman" w:eastAsia="仿宋_GB2312"/>
          <w:sz w:val="32"/>
          <w:szCs w:val="32"/>
        </w:rPr>
        <w:t>文书。</w:t>
      </w:r>
    </w:p>
    <w:p w14:paraId="6013B702">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6．现场庭审。</w:t>
      </w:r>
    </w:p>
    <w:p w14:paraId="5F0673CA">
      <w:pPr>
        <w:pageBreakBefore w:val="0"/>
        <w:kinsoku/>
        <w:wordWrap/>
        <w:topLinePunct w:val="0"/>
        <w:bidi w:val="0"/>
        <w:spacing w:before="240" w:line="360" w:lineRule="auto"/>
        <w:jc w:val="center"/>
        <w:textAlignment w:val="auto"/>
        <w:rPr>
          <w:rFonts w:ascii="Times New Roman" w:hAnsi="Times New Roman" w:eastAsia="黑体"/>
          <w:sz w:val="32"/>
          <w:szCs w:val="32"/>
        </w:rPr>
      </w:pPr>
      <w:r>
        <w:rPr>
          <w:rFonts w:hint="eastAsia" w:ascii="Times New Roman" w:hAnsi="Times New Roman" w:eastAsia="黑体"/>
          <w:sz w:val="32"/>
          <w:szCs w:val="32"/>
        </w:rPr>
        <w:t>第五章 状书及庭审规则</w:t>
      </w:r>
    </w:p>
    <w:p w14:paraId="3912A95F">
      <w:pPr>
        <w:pageBreakBefore w:val="0"/>
        <w:kinsoku/>
        <w:wordWrap/>
        <w:topLinePunct w:val="0"/>
        <w:bidi w:val="0"/>
        <w:spacing w:line="360" w:lineRule="auto"/>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（一）书状规则</w:t>
      </w:r>
    </w:p>
    <w:p w14:paraId="70F8FAA1">
      <w:pPr>
        <w:pageBreakBefore w:val="0"/>
        <w:kinsoku/>
        <w:wordWrap/>
        <w:topLinePunct w:val="0"/>
        <w:bidi w:val="0"/>
        <w:spacing w:line="360" w:lineRule="auto"/>
        <w:ind w:firstLine="643" w:firstLineChars="200"/>
        <w:textAlignment w:val="auto"/>
        <w:rPr>
          <w:rFonts w:ascii="Times New Roman" w:hAnsi="Times New Roman" w:eastAsia="仿宋_GB2312"/>
          <w:b/>
          <w:sz w:val="32"/>
          <w:szCs w:val="32"/>
        </w:rPr>
      </w:pPr>
      <w:r>
        <w:rPr>
          <w:rFonts w:hint="eastAsia" w:ascii="Times New Roman" w:hAnsi="Times New Roman" w:eastAsia="楷体_GB2312"/>
          <w:b/>
          <w:sz w:val="32"/>
          <w:szCs w:val="32"/>
        </w:rPr>
        <w:t xml:space="preserve">第十四条 [书状的提交与交换] </w:t>
      </w:r>
      <w:r>
        <w:rPr>
          <w:rFonts w:hint="eastAsia" w:ascii="Times New Roman" w:hAnsi="Times New Roman" w:eastAsia="仿宋_GB2312"/>
          <w:sz w:val="32"/>
          <w:szCs w:val="32"/>
        </w:rPr>
        <w:t>刑事案件的书状提交与交换：公诉方于决赛十日前提交起诉书副本，当事人、法定代理人、辩护人、诉讼代理人于决赛三日前提供证人、鉴定人名单，以及拟当庭出示的证据;申请证人、鉴定人、有专门知识的人出庭的，应当列明有关人员的姓名、性别、年龄、职业、住址、联系方式。</w:t>
      </w:r>
    </w:p>
    <w:p w14:paraId="0AEEC802">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民事案件的书状提交与交换：原告方于决赛十日前提交起诉状，被告方于决赛五日前提交答辩状。</w:t>
      </w:r>
    </w:p>
    <w:p w14:paraId="27CF6895">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行政案件的书状提交与交换：原告方于决赛十日前提交起诉状，被告方应于决赛前五日提交作出具体行政行为的有关材料，并提出答辩状。</w:t>
      </w:r>
    </w:p>
    <w:p w14:paraId="7263A143">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书状应在规定时间内提交，迟交者或未提交者依相关处罚规定处理。</w:t>
      </w:r>
    </w:p>
    <w:p w14:paraId="0A0F0819">
      <w:pPr>
        <w:pageBreakBefore w:val="0"/>
        <w:kinsoku/>
        <w:wordWrap/>
        <w:topLinePunct w:val="0"/>
        <w:bidi w:val="0"/>
        <w:spacing w:line="360" w:lineRule="auto"/>
        <w:ind w:firstLine="640" w:firstLineChars="200"/>
        <w:textAlignment w:val="auto"/>
        <w:rPr>
          <w:rFonts w:ascii="Times New Roman" w:hAnsi="Times New Roman"/>
          <w:sz w:val="32"/>
          <w:szCs w:val="32"/>
        </w:rPr>
      </w:pPr>
      <w:r>
        <w:rPr>
          <w:rFonts w:hint="eastAsia" w:ascii="Times New Roman" w:hAnsi="Times New Roman" w:eastAsia="仿宋_GB2312"/>
          <w:sz w:val="32"/>
          <w:szCs w:val="32"/>
        </w:rPr>
        <w:t>各参赛队伍在规定的时间内向竞赛办公室电子邮箱提交各类书状；竞赛办公室以电子邮件方式代为交换各场竞赛双方之书状。</w:t>
      </w:r>
    </w:p>
    <w:p w14:paraId="35B8A850">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第十五条[书状格式] </w:t>
      </w:r>
      <w:r>
        <w:rPr>
          <w:rFonts w:hint="eastAsia" w:ascii="Times New Roman" w:hAnsi="Times New Roman" w:eastAsia="仿宋_GB2312"/>
          <w:sz w:val="32"/>
          <w:szCs w:val="32"/>
        </w:rPr>
        <w:t>书状(包括封面与内文)长宽标准为A4规格，全文应以计算机打字撰写完成。</w:t>
      </w:r>
    </w:p>
    <w:p w14:paraId="2973E9E5">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字形应使用宋体，字体大小为五号。行距以1.5倍宽为标准。</w:t>
      </w:r>
    </w:p>
    <w:p w14:paraId="2CF62089">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第十六条[书状内容要求] </w:t>
      </w:r>
      <w:r>
        <w:rPr>
          <w:rFonts w:hint="eastAsia" w:ascii="Times New Roman" w:hAnsi="Times New Roman" w:eastAsia="仿宋_GB2312"/>
          <w:sz w:val="32"/>
          <w:szCs w:val="32"/>
        </w:rPr>
        <w:t>参赛各方提交的各类书状的内容应严格按照《中华人民共和国刑事诉讼法》、《中华人民共和国民事诉讼法》、《中华人民共和国行政诉讼法》及有关司法解释的规定撰写。</w:t>
      </w:r>
    </w:p>
    <w:p w14:paraId="21FDEFD4">
      <w:pPr>
        <w:pageBreakBefore w:val="0"/>
        <w:kinsoku/>
        <w:wordWrap/>
        <w:topLinePunct w:val="0"/>
        <w:bidi w:val="0"/>
        <w:spacing w:line="360" w:lineRule="auto"/>
        <w:ind w:firstLine="643" w:firstLineChars="200"/>
        <w:textAlignment w:val="auto"/>
        <w:rPr>
          <w:rFonts w:ascii="Times New Roman" w:hAnsi="Times New Roman"/>
          <w:sz w:val="32"/>
          <w:szCs w:val="32"/>
        </w:rPr>
      </w:pPr>
      <w:r>
        <w:rPr>
          <w:rFonts w:hint="eastAsia" w:ascii="Times New Roman" w:hAnsi="Times New Roman" w:eastAsia="楷体_GB2312"/>
          <w:b/>
          <w:sz w:val="32"/>
          <w:szCs w:val="32"/>
        </w:rPr>
        <w:t xml:space="preserve">第十七条[书状的提交与修改] </w:t>
      </w:r>
      <w:r>
        <w:rPr>
          <w:rFonts w:hint="eastAsia" w:ascii="Times New Roman" w:hAnsi="Times New Roman" w:eastAsia="仿宋_GB2312"/>
          <w:sz w:val="32"/>
          <w:szCs w:val="32"/>
        </w:rPr>
        <w:t xml:space="preserve">书状提交后不得修改。 </w:t>
      </w:r>
    </w:p>
    <w:p w14:paraId="1CF77942">
      <w:pPr>
        <w:pageBreakBefore w:val="0"/>
        <w:kinsoku/>
        <w:wordWrap/>
        <w:topLinePunct w:val="0"/>
        <w:bidi w:val="0"/>
        <w:spacing w:line="360" w:lineRule="auto"/>
        <w:ind w:firstLine="640" w:firstLineChars="200"/>
        <w:textAlignment w:val="auto"/>
        <w:rPr>
          <w:rFonts w:ascii="Times New Roman" w:hAnsi="Times New Roman" w:eastAsia="黑体"/>
          <w:sz w:val="32"/>
          <w:szCs w:val="32"/>
        </w:rPr>
      </w:pPr>
      <w:r>
        <w:rPr>
          <w:rFonts w:hint="eastAsia" w:ascii="Times New Roman" w:hAnsi="Times New Roman" w:eastAsia="黑体"/>
          <w:sz w:val="32"/>
          <w:szCs w:val="32"/>
        </w:rPr>
        <w:t>（二）庭审规则</w:t>
      </w:r>
    </w:p>
    <w:p w14:paraId="2255E59A">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第十八条[审判程序] </w:t>
      </w:r>
      <w:r>
        <w:rPr>
          <w:rFonts w:hint="eastAsia" w:ascii="Times New Roman" w:hAnsi="Times New Roman" w:eastAsia="仿宋_GB2312"/>
          <w:sz w:val="32"/>
          <w:szCs w:val="32"/>
        </w:rPr>
        <w:t>参赛双方应在案件确定的基础上模拟法庭审判程序进行比赛。</w:t>
      </w:r>
    </w:p>
    <w:p w14:paraId="4E876503">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第十九条[法庭审理的程序] </w:t>
      </w:r>
      <w:r>
        <w:rPr>
          <w:rFonts w:hint="eastAsia" w:ascii="Times New Roman" w:hAnsi="Times New Roman" w:eastAsia="仿宋_GB2312"/>
          <w:sz w:val="32"/>
          <w:szCs w:val="32"/>
        </w:rPr>
        <w:t>根据案件性质的不同，法庭审理的程序严格遵守《中华人民共和国刑事诉讼法》、《中华人民共和国民事诉讼法》、《中华人民共和国行政诉讼法》及有关司法解释的规定进行。</w:t>
      </w:r>
    </w:p>
    <w:p w14:paraId="32103561">
      <w:pPr>
        <w:pageBreakBefore w:val="0"/>
        <w:kinsoku/>
        <w:wordWrap/>
        <w:topLinePunct w:val="0"/>
        <w:bidi w:val="0"/>
        <w:spacing w:line="360" w:lineRule="auto"/>
        <w:ind w:firstLine="643" w:firstLineChars="200"/>
        <w:textAlignment w:val="auto"/>
        <w:rPr>
          <w:rFonts w:ascii="Times New Roman" w:hAnsi="Times New Roman" w:eastAsia="仿宋_GB2312"/>
          <w:b/>
          <w:sz w:val="32"/>
          <w:szCs w:val="32"/>
        </w:rPr>
      </w:pPr>
      <w:r>
        <w:rPr>
          <w:rFonts w:hint="eastAsia" w:ascii="Times New Roman" w:hAnsi="Times New Roman" w:eastAsia="楷体_GB2312"/>
          <w:b/>
          <w:sz w:val="32"/>
          <w:szCs w:val="32"/>
        </w:rPr>
        <w:t xml:space="preserve">第二十条[法庭审理的时间] </w:t>
      </w:r>
      <w:r>
        <w:rPr>
          <w:rFonts w:hint="eastAsia" w:ascii="Times New Roman" w:hAnsi="Times New Roman" w:eastAsia="仿宋_GB2312"/>
          <w:sz w:val="32"/>
          <w:szCs w:val="32"/>
        </w:rPr>
        <w:t>每场比赛原则上控制在120分钟以内，具体时间由评委掌控。</w:t>
      </w:r>
    </w:p>
    <w:p w14:paraId="6CF983BF">
      <w:pPr>
        <w:pageBreakBefore w:val="0"/>
        <w:kinsoku/>
        <w:wordWrap/>
        <w:topLinePunct w:val="0"/>
        <w:bidi w:val="0"/>
        <w:spacing w:line="360" w:lineRule="auto"/>
        <w:ind w:firstLine="627" w:firstLineChars="196"/>
        <w:textAlignment w:val="auto"/>
        <w:rPr>
          <w:rFonts w:ascii="Times New Roman" w:hAnsi="Times New Roman" w:eastAsia="仿宋_GB2312"/>
          <w:sz w:val="32"/>
          <w:szCs w:val="32"/>
        </w:rPr>
      </w:pPr>
      <w:r>
        <w:rPr>
          <w:rFonts w:hint="eastAsia" w:ascii="Times New Roman" w:hAnsi="Times New Roman" w:eastAsia="仿宋_GB2312"/>
          <w:sz w:val="32"/>
          <w:szCs w:val="32"/>
        </w:rPr>
        <w:t>评委可在辩论阶段随时提出问题，但应注意一视同仁，公平对待。评委提问时间不计算在竞赛时间之内。</w:t>
      </w:r>
    </w:p>
    <w:p w14:paraId="65CE788F">
      <w:pPr>
        <w:pageBreakBefore w:val="0"/>
        <w:kinsoku/>
        <w:wordWrap/>
        <w:topLinePunct w:val="0"/>
        <w:bidi w:val="0"/>
        <w:spacing w:line="360" w:lineRule="auto"/>
        <w:ind w:firstLine="643" w:firstLineChars="200"/>
        <w:textAlignment w:val="auto"/>
        <w:rPr>
          <w:rFonts w:ascii="Times New Roman" w:hAnsi="Times New Roman"/>
          <w:sz w:val="32"/>
          <w:szCs w:val="32"/>
        </w:rPr>
      </w:pPr>
      <w:r>
        <w:rPr>
          <w:rFonts w:hint="eastAsia" w:ascii="Times New Roman" w:hAnsi="Times New Roman" w:eastAsia="楷体_GB2312"/>
          <w:b/>
          <w:sz w:val="32"/>
          <w:szCs w:val="32"/>
        </w:rPr>
        <w:t xml:space="preserve">第二十一条[队员间的沟通] </w:t>
      </w:r>
      <w:r>
        <w:rPr>
          <w:rFonts w:hint="eastAsia" w:ascii="Times New Roman" w:hAnsi="Times New Roman" w:eastAsia="仿宋_GB2312"/>
          <w:sz w:val="32"/>
          <w:szCs w:val="32"/>
        </w:rPr>
        <w:t>庭审进行中，场上队员间的讨论或沟通皆须以纸笔方式传递讯息。正在发言的队员不得与任何队员进行任何形式的沟通与讯息传递，若经发现，评审应给予扣分。</w:t>
      </w:r>
    </w:p>
    <w:p w14:paraId="6B8B8BE2">
      <w:pPr>
        <w:pageBreakBefore w:val="0"/>
        <w:kinsoku/>
        <w:wordWrap/>
        <w:topLinePunct w:val="0"/>
        <w:bidi w:val="0"/>
        <w:spacing w:line="360" w:lineRule="auto"/>
        <w:ind w:firstLine="643" w:firstLineChars="200"/>
        <w:textAlignment w:val="auto"/>
        <w:rPr>
          <w:rFonts w:ascii="Times New Roman" w:hAnsi="Times New Roman"/>
          <w:sz w:val="32"/>
          <w:szCs w:val="32"/>
        </w:rPr>
      </w:pPr>
      <w:r>
        <w:rPr>
          <w:rFonts w:hint="eastAsia" w:ascii="Times New Roman" w:hAnsi="Times New Roman" w:eastAsia="楷体_GB2312"/>
          <w:b/>
          <w:sz w:val="32"/>
          <w:szCs w:val="32"/>
        </w:rPr>
        <w:t xml:space="preserve">第二十二条[录音与录像] </w:t>
      </w:r>
      <w:r>
        <w:rPr>
          <w:rFonts w:hint="eastAsia" w:ascii="Times New Roman" w:hAnsi="Times New Roman" w:eastAsia="仿宋_GB2312"/>
          <w:sz w:val="32"/>
          <w:szCs w:val="32"/>
        </w:rPr>
        <w:t>承办方应当就竞赛事务进行录音和录像，竞赛事务的录音和录像资料不得对外公开。</w:t>
      </w:r>
    </w:p>
    <w:p w14:paraId="0F31F487">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第二十三条[展示品的使用] </w:t>
      </w:r>
      <w:r>
        <w:rPr>
          <w:rFonts w:hint="eastAsia" w:ascii="Times New Roman" w:hAnsi="Times New Roman" w:eastAsia="仿宋_GB2312"/>
          <w:sz w:val="32"/>
          <w:szCs w:val="32"/>
        </w:rPr>
        <w:t>言词辩论时，双方不得使用书状中所附证据以外的任何展示品，包括图画、文字、声音等各种形式的展示品。</w:t>
      </w:r>
    </w:p>
    <w:p w14:paraId="6AC6F603">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第二十四条[匿名原则] </w:t>
      </w:r>
      <w:r>
        <w:rPr>
          <w:rFonts w:hint="eastAsia" w:ascii="Times New Roman" w:hAnsi="Times New Roman" w:eastAsia="仿宋_GB2312"/>
          <w:sz w:val="32"/>
          <w:szCs w:val="32"/>
        </w:rPr>
        <w:t>比赛采用匿名的方式进行。各参赛队不得在辩论比赛开场前和比赛进行过程中透露任何关于参赛队伍所在院校、指导教师及选手姓名等信息，否则直接扣除总分5分，是否违规由当场评委判断。</w:t>
      </w:r>
    </w:p>
    <w:p w14:paraId="5381128B">
      <w:pPr>
        <w:pageBreakBefore w:val="0"/>
        <w:kinsoku/>
        <w:wordWrap/>
        <w:topLinePunct w:val="0"/>
        <w:bidi w:val="0"/>
        <w:spacing w:before="240" w:line="360" w:lineRule="auto"/>
        <w:jc w:val="center"/>
        <w:textAlignment w:val="auto"/>
        <w:rPr>
          <w:rFonts w:ascii="Times New Roman" w:hAnsi="Times New Roman" w:eastAsia="黑体"/>
          <w:sz w:val="32"/>
          <w:szCs w:val="32"/>
        </w:rPr>
      </w:pPr>
      <w:r>
        <w:rPr>
          <w:rFonts w:hint="eastAsia" w:ascii="Times New Roman" w:hAnsi="Times New Roman" w:eastAsia="黑体"/>
          <w:sz w:val="32"/>
          <w:szCs w:val="32"/>
        </w:rPr>
        <w:t>第六章 评委会</w:t>
      </w:r>
    </w:p>
    <w:p w14:paraId="3B692BBF">
      <w:pPr>
        <w:pageBreakBefore w:val="0"/>
        <w:kinsoku/>
        <w:wordWrap/>
        <w:topLinePunct w:val="0"/>
        <w:bidi w:val="0"/>
        <w:spacing w:line="360" w:lineRule="auto"/>
        <w:ind w:firstLine="643" w:firstLineChars="200"/>
        <w:textAlignment w:val="auto"/>
        <w:rPr>
          <w:rFonts w:ascii="Times New Roman" w:hAnsi="Times New Roman"/>
          <w:sz w:val="32"/>
          <w:szCs w:val="32"/>
        </w:rPr>
      </w:pPr>
      <w:r>
        <w:rPr>
          <w:rFonts w:hint="eastAsia" w:ascii="Times New Roman" w:hAnsi="Times New Roman" w:eastAsia="楷体_GB2312"/>
          <w:b/>
          <w:sz w:val="32"/>
          <w:szCs w:val="32"/>
        </w:rPr>
        <w:t xml:space="preserve">第二十五条[评委会的组成] </w:t>
      </w:r>
      <w:r>
        <w:rPr>
          <w:rFonts w:hint="eastAsia" w:ascii="Times New Roman" w:hAnsi="Times New Roman" w:eastAsia="仿宋_GB2312"/>
          <w:sz w:val="32"/>
          <w:szCs w:val="32"/>
        </w:rPr>
        <w:t>每场竞赛评委会由五至七位评委组成，评委应推选一人担任审判长。</w:t>
      </w:r>
    </w:p>
    <w:p w14:paraId="1E176DC2">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评委以法官、检察官、律师或其它从事法律相关工作的专业人士为原则。每一场次的评委会均应有适当比例的法官、检察官、律师等。</w:t>
      </w:r>
    </w:p>
    <w:p w14:paraId="2FFBC2C1">
      <w:pPr>
        <w:pageBreakBefore w:val="0"/>
        <w:widowControl/>
        <w:kinsoku/>
        <w:wordWrap/>
        <w:topLinePunct w:val="0"/>
        <w:bidi w:val="0"/>
        <w:spacing w:line="360" w:lineRule="auto"/>
        <w:ind w:firstLine="480"/>
        <w:jc w:val="left"/>
        <w:textAlignment w:val="auto"/>
        <w:rPr>
          <w:rFonts w:ascii="Times New Roman" w:hAnsi="Times New Roman" w:cs="宋体"/>
          <w:kern w:val="0"/>
          <w:sz w:val="32"/>
          <w:szCs w:val="32"/>
        </w:rPr>
      </w:pPr>
      <w:r>
        <w:rPr>
          <w:rFonts w:hint="eastAsia" w:ascii="Times New Roman" w:hAnsi="Times New Roman" w:eastAsia="楷体_GB2312"/>
          <w:b/>
          <w:sz w:val="32"/>
          <w:szCs w:val="32"/>
        </w:rPr>
        <w:t>第二十六条[评价标准]</w:t>
      </w:r>
      <w:r>
        <w:rPr>
          <w:rFonts w:hint="eastAsia" w:ascii="Times New Roman" w:hAnsi="Times New Roman" w:cs="宋体"/>
          <w:kern w:val="0"/>
          <w:sz w:val="32"/>
          <w:szCs w:val="32"/>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4"/>
        <w:gridCol w:w="6748"/>
      </w:tblGrid>
      <w:tr w14:paraId="7A74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trPr>
        <w:tc>
          <w:tcPr>
            <w:tcW w:w="1724" w:type="dxa"/>
            <w:noWrap w:val="0"/>
            <w:vAlign w:val="bottom"/>
          </w:tcPr>
          <w:p w14:paraId="74DE79A2">
            <w:pPr>
              <w:pageBreakBefore w:val="0"/>
              <w:kinsoku/>
              <w:wordWrap/>
              <w:topLinePunct w:val="0"/>
              <w:bidi w:val="0"/>
              <w:spacing w:line="360" w:lineRule="auto"/>
              <w:jc w:val="center"/>
              <w:textAlignment w:val="auto"/>
              <w:rPr>
                <w:rFonts w:ascii="Times New Roman" w:hAnsi="Times New Roman" w:eastAsia="仿宋_GB2312"/>
                <w:b/>
                <w:kern w:val="0"/>
                <w:sz w:val="28"/>
                <w:szCs w:val="28"/>
              </w:rPr>
            </w:pPr>
            <w:r>
              <w:rPr>
                <w:rFonts w:hint="eastAsia" w:ascii="Times New Roman" w:hAnsi="Times New Roman" w:eastAsia="仿宋_GB2312"/>
                <w:b/>
                <w:kern w:val="0"/>
                <w:sz w:val="28"/>
                <w:szCs w:val="28"/>
              </w:rPr>
              <w:t>项目</w:t>
            </w:r>
          </w:p>
        </w:tc>
        <w:tc>
          <w:tcPr>
            <w:tcW w:w="6748" w:type="dxa"/>
            <w:noWrap w:val="0"/>
            <w:vAlign w:val="bottom"/>
          </w:tcPr>
          <w:p w14:paraId="50FCD9A9">
            <w:pPr>
              <w:pageBreakBefore w:val="0"/>
              <w:kinsoku/>
              <w:wordWrap/>
              <w:topLinePunct w:val="0"/>
              <w:bidi w:val="0"/>
              <w:spacing w:line="360" w:lineRule="auto"/>
              <w:jc w:val="center"/>
              <w:textAlignment w:val="auto"/>
              <w:rPr>
                <w:rFonts w:ascii="Times New Roman" w:hAnsi="Times New Roman" w:eastAsia="仿宋_GB2312"/>
                <w:b/>
                <w:kern w:val="0"/>
                <w:sz w:val="28"/>
                <w:szCs w:val="28"/>
              </w:rPr>
            </w:pPr>
            <w:r>
              <w:rPr>
                <w:rFonts w:hint="eastAsia" w:ascii="Times New Roman" w:hAnsi="Times New Roman" w:eastAsia="仿宋_GB2312"/>
                <w:b/>
                <w:kern w:val="0"/>
                <w:sz w:val="28"/>
                <w:szCs w:val="28"/>
              </w:rPr>
              <w:t>评分说明</w:t>
            </w:r>
          </w:p>
        </w:tc>
      </w:tr>
      <w:tr w14:paraId="54A4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0" w:hRule="atLeast"/>
        </w:trPr>
        <w:tc>
          <w:tcPr>
            <w:tcW w:w="1724" w:type="dxa"/>
            <w:vMerge w:val="restart"/>
            <w:noWrap w:val="0"/>
            <w:vAlign w:val="center"/>
          </w:tcPr>
          <w:p w14:paraId="63E68A70">
            <w:pPr>
              <w:pageBreakBefore w:val="0"/>
              <w:kinsoku/>
              <w:wordWrap/>
              <w:topLinePunct w:val="0"/>
              <w:bidi w:val="0"/>
              <w:spacing w:line="360" w:lineRule="auto"/>
              <w:jc w:val="center"/>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基本知识（25分）</w:t>
            </w:r>
          </w:p>
        </w:tc>
        <w:tc>
          <w:tcPr>
            <w:tcW w:w="6748" w:type="dxa"/>
            <w:noWrap w:val="0"/>
            <w:vAlign w:val="center"/>
          </w:tcPr>
          <w:p w14:paraId="04213345">
            <w:pPr>
              <w:pageBreakBefore w:val="0"/>
              <w:kinsoku/>
              <w:wordWrap/>
              <w:topLinePunct w:val="0"/>
              <w:bidi w:val="0"/>
              <w:spacing w:line="360" w:lineRule="auto"/>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法律知识（60%）：学生的法学基本功，对扮演角色所涉专业知识的掌握与熟悉程度。</w:t>
            </w:r>
          </w:p>
        </w:tc>
      </w:tr>
      <w:tr w14:paraId="4290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6" w:hRule="atLeast"/>
        </w:trPr>
        <w:tc>
          <w:tcPr>
            <w:tcW w:w="1724" w:type="dxa"/>
            <w:vMerge w:val="continue"/>
            <w:noWrap w:val="0"/>
            <w:vAlign w:val="center"/>
          </w:tcPr>
          <w:p w14:paraId="665547A3">
            <w:pPr>
              <w:pageBreakBefore w:val="0"/>
              <w:kinsoku/>
              <w:wordWrap/>
              <w:topLinePunct w:val="0"/>
              <w:bidi w:val="0"/>
              <w:spacing w:line="360" w:lineRule="auto"/>
              <w:jc w:val="center"/>
              <w:textAlignment w:val="auto"/>
              <w:rPr>
                <w:rFonts w:ascii="Times New Roman" w:hAnsi="Times New Roman" w:eastAsia="仿宋_GB2312"/>
                <w:kern w:val="0"/>
                <w:sz w:val="28"/>
                <w:szCs w:val="28"/>
              </w:rPr>
            </w:pPr>
          </w:p>
        </w:tc>
        <w:tc>
          <w:tcPr>
            <w:tcW w:w="6748" w:type="dxa"/>
            <w:noWrap w:val="0"/>
            <w:vAlign w:val="center"/>
          </w:tcPr>
          <w:p w14:paraId="48C3B2A8">
            <w:pPr>
              <w:pageBreakBefore w:val="0"/>
              <w:kinsoku/>
              <w:wordWrap/>
              <w:topLinePunct w:val="0"/>
              <w:bidi w:val="0"/>
              <w:spacing w:line="360" w:lineRule="auto"/>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程序遵守（40%）：对法定程序的遵守程度，庭审活动中有无违反、遗漏诉讼程序和庭审规则的情况。</w:t>
            </w:r>
          </w:p>
        </w:tc>
      </w:tr>
      <w:tr w14:paraId="66A8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trPr>
        <w:tc>
          <w:tcPr>
            <w:tcW w:w="1724" w:type="dxa"/>
            <w:vMerge w:val="restart"/>
            <w:noWrap w:val="0"/>
            <w:vAlign w:val="center"/>
          </w:tcPr>
          <w:p w14:paraId="23051658">
            <w:pPr>
              <w:pageBreakBefore w:val="0"/>
              <w:kinsoku/>
              <w:wordWrap/>
              <w:topLinePunct w:val="0"/>
              <w:bidi w:val="0"/>
              <w:spacing w:line="360" w:lineRule="auto"/>
              <w:jc w:val="center"/>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分析问题</w:t>
            </w:r>
          </w:p>
          <w:p w14:paraId="1E6CC297">
            <w:pPr>
              <w:pageBreakBefore w:val="0"/>
              <w:kinsoku/>
              <w:wordWrap/>
              <w:topLinePunct w:val="0"/>
              <w:bidi w:val="0"/>
              <w:spacing w:line="360" w:lineRule="auto"/>
              <w:jc w:val="center"/>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能力</w:t>
            </w:r>
          </w:p>
          <w:p w14:paraId="5057AEB0">
            <w:pPr>
              <w:pageBreakBefore w:val="0"/>
              <w:kinsoku/>
              <w:wordWrap/>
              <w:topLinePunct w:val="0"/>
              <w:bidi w:val="0"/>
              <w:spacing w:line="360" w:lineRule="auto"/>
              <w:jc w:val="center"/>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（25分）</w:t>
            </w:r>
          </w:p>
        </w:tc>
        <w:tc>
          <w:tcPr>
            <w:tcW w:w="6748" w:type="dxa"/>
            <w:noWrap w:val="0"/>
            <w:vAlign w:val="center"/>
          </w:tcPr>
          <w:p w14:paraId="74516AF9">
            <w:pPr>
              <w:pageBreakBefore w:val="0"/>
              <w:kinsoku/>
              <w:wordWrap/>
              <w:topLinePunct w:val="0"/>
              <w:bidi w:val="0"/>
              <w:spacing w:line="360" w:lineRule="auto"/>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事实分析（50%）：对案件事实本身的熟悉度，梳理案件事实的清晰度与条理性，以及证据准备的充分度。是否按照规定格式组织报告文本</w:t>
            </w:r>
          </w:p>
        </w:tc>
      </w:tr>
      <w:tr w14:paraId="47EB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atLeast"/>
        </w:trPr>
        <w:tc>
          <w:tcPr>
            <w:tcW w:w="1724" w:type="dxa"/>
            <w:vMerge w:val="continue"/>
            <w:noWrap w:val="0"/>
            <w:vAlign w:val="center"/>
          </w:tcPr>
          <w:p w14:paraId="2AC3DED2">
            <w:pPr>
              <w:pageBreakBefore w:val="0"/>
              <w:kinsoku/>
              <w:wordWrap/>
              <w:topLinePunct w:val="0"/>
              <w:bidi w:val="0"/>
              <w:spacing w:line="360" w:lineRule="auto"/>
              <w:ind w:firstLine="506" w:firstLineChars="181"/>
              <w:jc w:val="center"/>
              <w:textAlignment w:val="auto"/>
              <w:rPr>
                <w:rFonts w:ascii="Times New Roman" w:hAnsi="Times New Roman" w:eastAsia="仿宋_GB2312"/>
                <w:kern w:val="0"/>
                <w:sz w:val="28"/>
                <w:szCs w:val="28"/>
              </w:rPr>
            </w:pPr>
          </w:p>
        </w:tc>
        <w:tc>
          <w:tcPr>
            <w:tcW w:w="6748" w:type="dxa"/>
            <w:noWrap w:val="0"/>
            <w:vAlign w:val="center"/>
          </w:tcPr>
          <w:p w14:paraId="081E7BAB">
            <w:pPr>
              <w:pageBreakBefore w:val="0"/>
              <w:kinsoku/>
              <w:wordWrap/>
              <w:topLinePunct w:val="0"/>
              <w:bidi w:val="0"/>
              <w:spacing w:line="360" w:lineRule="auto"/>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逻辑推理（50%）：在庭审的攻击与防御中，运用法律分析案情的思路是否清楚，推理是否严密，论证是否有说服力，结论是否得当。</w:t>
            </w:r>
          </w:p>
        </w:tc>
      </w:tr>
      <w:tr w14:paraId="3870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2" w:hRule="atLeast"/>
        </w:trPr>
        <w:tc>
          <w:tcPr>
            <w:tcW w:w="1724" w:type="dxa"/>
            <w:vMerge w:val="restart"/>
            <w:noWrap w:val="0"/>
            <w:vAlign w:val="center"/>
          </w:tcPr>
          <w:p w14:paraId="201E9A48">
            <w:pPr>
              <w:pageBreakBefore w:val="0"/>
              <w:kinsoku/>
              <w:wordWrap/>
              <w:topLinePunct w:val="0"/>
              <w:bidi w:val="0"/>
              <w:spacing w:line="360" w:lineRule="auto"/>
              <w:jc w:val="center"/>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表达能力（40分）</w:t>
            </w:r>
          </w:p>
        </w:tc>
        <w:tc>
          <w:tcPr>
            <w:tcW w:w="6748" w:type="dxa"/>
            <w:noWrap w:val="0"/>
            <w:vAlign w:val="center"/>
          </w:tcPr>
          <w:p w14:paraId="0236D783">
            <w:pPr>
              <w:pageBreakBefore w:val="0"/>
              <w:kinsoku/>
              <w:wordWrap/>
              <w:topLinePunct w:val="0"/>
              <w:bidi w:val="0"/>
              <w:spacing w:line="360" w:lineRule="auto"/>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言辞表达（25%）：普通话是否流利,口齿是否清楚, 表达是否准确，法律术语是否得当，语言表达技巧是否娴熟。</w:t>
            </w:r>
          </w:p>
        </w:tc>
      </w:tr>
      <w:tr w14:paraId="27B4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2" w:hRule="atLeast"/>
        </w:trPr>
        <w:tc>
          <w:tcPr>
            <w:tcW w:w="1724" w:type="dxa"/>
            <w:vMerge w:val="continue"/>
            <w:noWrap w:val="0"/>
            <w:vAlign w:val="center"/>
          </w:tcPr>
          <w:p w14:paraId="67002DE8">
            <w:pPr>
              <w:pageBreakBefore w:val="0"/>
              <w:kinsoku/>
              <w:wordWrap/>
              <w:topLinePunct w:val="0"/>
              <w:bidi w:val="0"/>
              <w:spacing w:line="360" w:lineRule="auto"/>
              <w:textAlignment w:val="auto"/>
              <w:rPr>
                <w:rFonts w:ascii="Times New Roman" w:hAnsi="Times New Roman" w:eastAsia="仿宋_GB2312"/>
                <w:kern w:val="0"/>
                <w:sz w:val="28"/>
                <w:szCs w:val="28"/>
              </w:rPr>
            </w:pPr>
          </w:p>
        </w:tc>
        <w:tc>
          <w:tcPr>
            <w:tcW w:w="6748" w:type="dxa"/>
            <w:noWrap w:val="0"/>
            <w:vAlign w:val="center"/>
          </w:tcPr>
          <w:p w14:paraId="28A3F880">
            <w:pPr>
              <w:pageBreakBefore w:val="0"/>
              <w:kinsoku/>
              <w:wordWrap/>
              <w:topLinePunct w:val="0"/>
              <w:bidi w:val="0"/>
              <w:spacing w:line="360" w:lineRule="auto"/>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临场应变（25%）：对突发性事件的应变能力，如在质证和辩论中遭遇对方反诘时的应对是否机敏、沉着。</w:t>
            </w:r>
          </w:p>
        </w:tc>
      </w:tr>
      <w:tr w14:paraId="4883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2" w:hRule="atLeast"/>
        </w:trPr>
        <w:tc>
          <w:tcPr>
            <w:tcW w:w="1724" w:type="dxa"/>
            <w:vMerge w:val="continue"/>
            <w:noWrap w:val="0"/>
            <w:vAlign w:val="center"/>
          </w:tcPr>
          <w:p w14:paraId="1A985C19">
            <w:pPr>
              <w:pageBreakBefore w:val="0"/>
              <w:kinsoku/>
              <w:wordWrap/>
              <w:topLinePunct w:val="0"/>
              <w:bidi w:val="0"/>
              <w:spacing w:line="360" w:lineRule="auto"/>
              <w:textAlignment w:val="auto"/>
              <w:rPr>
                <w:rFonts w:ascii="Times New Roman" w:hAnsi="Times New Roman" w:eastAsia="仿宋_GB2312"/>
                <w:kern w:val="0"/>
                <w:sz w:val="28"/>
                <w:szCs w:val="28"/>
              </w:rPr>
            </w:pPr>
          </w:p>
        </w:tc>
        <w:tc>
          <w:tcPr>
            <w:tcW w:w="6748" w:type="dxa"/>
            <w:noWrap w:val="0"/>
            <w:vAlign w:val="center"/>
          </w:tcPr>
          <w:p w14:paraId="32AB71ED">
            <w:pPr>
              <w:pageBreakBefore w:val="0"/>
              <w:kinsoku/>
              <w:wordWrap/>
              <w:topLinePunct w:val="0"/>
              <w:bidi w:val="0"/>
              <w:spacing w:line="360" w:lineRule="auto"/>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角色进入（25%）：学生本人与其所扮演角色的融合度，即是否“入戏”，以及现场表现力强弱。</w:t>
            </w:r>
          </w:p>
        </w:tc>
      </w:tr>
      <w:tr w14:paraId="3FE7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trPr>
        <w:tc>
          <w:tcPr>
            <w:tcW w:w="1724" w:type="dxa"/>
            <w:vMerge w:val="continue"/>
            <w:noWrap w:val="0"/>
            <w:vAlign w:val="center"/>
          </w:tcPr>
          <w:p w14:paraId="6DEE66DE">
            <w:pPr>
              <w:pageBreakBefore w:val="0"/>
              <w:kinsoku/>
              <w:wordWrap/>
              <w:topLinePunct w:val="0"/>
              <w:bidi w:val="0"/>
              <w:spacing w:line="360" w:lineRule="auto"/>
              <w:ind w:firstLine="506" w:firstLineChars="181"/>
              <w:textAlignment w:val="auto"/>
              <w:rPr>
                <w:rFonts w:ascii="Times New Roman" w:hAnsi="Times New Roman" w:eastAsia="仿宋_GB2312"/>
                <w:kern w:val="0"/>
                <w:sz w:val="28"/>
                <w:szCs w:val="28"/>
              </w:rPr>
            </w:pPr>
          </w:p>
        </w:tc>
        <w:tc>
          <w:tcPr>
            <w:tcW w:w="6748" w:type="dxa"/>
            <w:noWrap w:val="0"/>
            <w:vAlign w:val="center"/>
          </w:tcPr>
          <w:p w14:paraId="503B8ABE">
            <w:pPr>
              <w:pageBreakBefore w:val="0"/>
              <w:kinsoku/>
              <w:wordWrap/>
              <w:topLinePunct w:val="0"/>
              <w:bidi w:val="0"/>
              <w:spacing w:line="360" w:lineRule="auto"/>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诉讼仪态（25%）：对法庭礼仪的遵守情况，举止是否得体，言行是否庄重大方，临场风度与着装情况。</w:t>
            </w:r>
          </w:p>
        </w:tc>
      </w:tr>
      <w:tr w14:paraId="0E35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trPr>
        <w:tc>
          <w:tcPr>
            <w:tcW w:w="1724" w:type="dxa"/>
            <w:noWrap w:val="0"/>
            <w:vAlign w:val="center"/>
          </w:tcPr>
          <w:p w14:paraId="7DD279A1">
            <w:pPr>
              <w:pageBreakBefore w:val="0"/>
              <w:kinsoku/>
              <w:wordWrap/>
              <w:topLinePunct w:val="0"/>
              <w:bidi w:val="0"/>
              <w:spacing w:line="360" w:lineRule="auto"/>
              <w:jc w:val="center"/>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其它</w:t>
            </w:r>
          </w:p>
          <w:p w14:paraId="29F7B678">
            <w:pPr>
              <w:pageBreakBefore w:val="0"/>
              <w:kinsoku/>
              <w:wordWrap/>
              <w:topLinePunct w:val="0"/>
              <w:bidi w:val="0"/>
              <w:spacing w:line="360" w:lineRule="auto"/>
              <w:jc w:val="center"/>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（10分）</w:t>
            </w:r>
          </w:p>
        </w:tc>
        <w:tc>
          <w:tcPr>
            <w:tcW w:w="6748" w:type="dxa"/>
            <w:noWrap w:val="0"/>
            <w:vAlign w:val="center"/>
          </w:tcPr>
          <w:p w14:paraId="1940AC92">
            <w:pPr>
              <w:pageBreakBefore w:val="0"/>
              <w:kinsoku/>
              <w:wordWrap/>
              <w:topLinePunct w:val="0"/>
              <w:bidi w:val="0"/>
              <w:spacing w:line="360" w:lineRule="auto"/>
              <w:textAlignment w:val="auto"/>
              <w:rPr>
                <w:rFonts w:ascii="Times New Roman" w:hAnsi="Times New Roman" w:eastAsia="仿宋_GB2312"/>
                <w:kern w:val="0"/>
                <w:sz w:val="28"/>
                <w:szCs w:val="28"/>
              </w:rPr>
            </w:pPr>
            <w:r>
              <w:rPr>
                <w:rFonts w:hint="eastAsia" w:ascii="Times New Roman" w:hAnsi="Times New Roman" w:eastAsia="仿宋_GB2312"/>
                <w:kern w:val="0"/>
                <w:sz w:val="28"/>
                <w:szCs w:val="28"/>
              </w:rPr>
              <w:t>综合印象：学生在庭审过程中整体表现的好坏。</w:t>
            </w:r>
          </w:p>
        </w:tc>
      </w:tr>
    </w:tbl>
    <w:p w14:paraId="2CAB36BF">
      <w:pPr>
        <w:pageBreakBefore w:val="0"/>
        <w:kinsoku/>
        <w:wordWrap/>
        <w:topLinePunct w:val="0"/>
        <w:bidi w:val="0"/>
        <w:spacing w:before="240"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第二十七条[评委打分] </w:t>
      </w:r>
      <w:r>
        <w:rPr>
          <w:rFonts w:hint="eastAsia" w:ascii="Times New Roman" w:hAnsi="Times New Roman" w:eastAsia="仿宋_GB2312"/>
          <w:sz w:val="32"/>
          <w:szCs w:val="32"/>
        </w:rPr>
        <w:t>决赛阶段按照抽签对抗制采用现场决赛。参赛队伍的决赛成绩为现场评审专家评分（去掉一个最高分和一个最低分）的平均值。</w:t>
      </w:r>
    </w:p>
    <w:p w14:paraId="2889F442">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参赛队伍决赛成绩的最终得分在比赛结束后由官网予以统一公布。</w:t>
      </w:r>
    </w:p>
    <w:p w14:paraId="343E631D">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第二十八条[评委讲评] </w:t>
      </w:r>
      <w:r>
        <w:rPr>
          <w:rFonts w:hint="eastAsia" w:ascii="Times New Roman" w:hAnsi="Times New Roman" w:eastAsia="仿宋_GB2312"/>
          <w:sz w:val="32"/>
          <w:szCs w:val="32"/>
        </w:rPr>
        <w:t>评委在竞赛结束后讲评时，应对两队的整体表现进行评述，不宜针对相关的法律争议进行说明与解答。</w:t>
      </w:r>
    </w:p>
    <w:p w14:paraId="2E4D2AD5">
      <w:pPr>
        <w:pageBreakBefore w:val="0"/>
        <w:kinsoku/>
        <w:wordWrap/>
        <w:topLinePunct w:val="0"/>
        <w:bidi w:val="0"/>
        <w:spacing w:before="240" w:line="360" w:lineRule="auto"/>
        <w:jc w:val="center"/>
        <w:textAlignment w:val="auto"/>
        <w:rPr>
          <w:rFonts w:ascii="Times New Roman" w:hAnsi="Times New Roman" w:eastAsia="黑体"/>
          <w:sz w:val="32"/>
          <w:szCs w:val="32"/>
        </w:rPr>
      </w:pPr>
      <w:r>
        <w:rPr>
          <w:rFonts w:hint="eastAsia" w:ascii="Times New Roman" w:hAnsi="Times New Roman" w:eastAsia="黑体"/>
          <w:sz w:val="32"/>
          <w:szCs w:val="32"/>
        </w:rPr>
        <w:t>第七章 罚则及救济</w:t>
      </w:r>
    </w:p>
    <w:p w14:paraId="309808D8">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第二十九条[书状逾期的处罚]</w:t>
      </w:r>
      <w:r>
        <w:rPr>
          <w:rFonts w:hint="eastAsia" w:ascii="Times New Roman" w:hAnsi="Times New Roman" w:eastAsia="仿宋_GB2312"/>
          <w:b/>
          <w:sz w:val="32"/>
          <w:szCs w:val="32"/>
        </w:rPr>
        <w:t xml:space="preserve"> </w:t>
      </w:r>
      <w:r>
        <w:rPr>
          <w:rFonts w:hint="eastAsia" w:ascii="Times New Roman" w:hAnsi="Times New Roman" w:eastAsia="仿宋_GB2312"/>
          <w:sz w:val="32"/>
          <w:szCs w:val="32"/>
        </w:rPr>
        <w:t>在规定的时间未提交书状者将失去参赛资格。</w:t>
      </w:r>
    </w:p>
    <w:p w14:paraId="55976075">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书状内容经竞赛办公室确认有抄袭、剽窃等情形的，取消该队参赛资格。</w:t>
      </w:r>
    </w:p>
    <w:p w14:paraId="3A2F1222">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第三十条[违反出席义务的处罚]</w:t>
      </w:r>
      <w:r>
        <w:rPr>
          <w:rFonts w:hint="eastAsia" w:ascii="Times New Roman" w:hAnsi="Times New Roman" w:eastAsia="仿宋_GB2312"/>
          <w:b/>
          <w:sz w:val="32"/>
          <w:szCs w:val="32"/>
        </w:rPr>
        <w:t xml:space="preserve"> </w:t>
      </w:r>
      <w:r>
        <w:rPr>
          <w:rFonts w:hint="eastAsia" w:ascii="Times New Roman" w:hAnsi="Times New Roman" w:eastAsia="仿宋_GB2312"/>
          <w:sz w:val="32"/>
          <w:szCs w:val="32"/>
        </w:rPr>
        <w:t>出席义务指法庭审理程序的出席义务。</w:t>
      </w:r>
    </w:p>
    <w:p w14:paraId="73928DF3">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参加法庭审理程序迟到者，每迟到十分钟，扣去最终得分十分。迟到半小时者，视为弃权，依缺席处理。</w:t>
      </w:r>
    </w:p>
    <w:p w14:paraId="7A3AFEF3">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参加法庭审理程序缺席者，视为放弃竞赛，由此使与之对阵的参赛队缺失比赛对抗方时，由与该组案件相同的另组参赛队伍与该队对阵，具体视角色确定。</w:t>
      </w:r>
    </w:p>
    <w:p w14:paraId="63828879">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参加法庭审理程序缺席队所在的学校，三年内不得组队参加模拟法庭竞赛。</w:t>
      </w:r>
    </w:p>
    <w:p w14:paraId="1D587FE8">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第三十一条[救济程序] </w:t>
      </w:r>
      <w:r>
        <w:rPr>
          <w:rFonts w:hint="eastAsia" w:ascii="Times New Roman" w:hAnsi="Times New Roman" w:eastAsia="仿宋_GB2312" w:cs="仿宋_GB2312"/>
          <w:sz w:val="32"/>
          <w:szCs w:val="32"/>
        </w:rPr>
        <w:t>竞赛专家委员会与竞赛办公室在竞赛现场受理争议与投诉，负责现场裁决或提交竞赛委员会会商。</w:t>
      </w:r>
    </w:p>
    <w:p w14:paraId="256B6A50">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cs="仿宋_GB2312"/>
          <w:sz w:val="32"/>
          <w:szCs w:val="32"/>
        </w:rPr>
        <w:t>对于竞赛的投诉，参赛队伍必须在比赛发生一小时内以书面形式提出投诉申请书，投诉内容必须有确凿的事实依据。竞赛委员会处理投诉的裁决具有终局性。</w:t>
      </w:r>
    </w:p>
    <w:p w14:paraId="013A0EEF">
      <w:pPr>
        <w:pageBreakBefore w:val="0"/>
        <w:kinsoku/>
        <w:wordWrap/>
        <w:topLinePunct w:val="0"/>
        <w:bidi w:val="0"/>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cs="仿宋_GB2312"/>
          <w:sz w:val="32"/>
          <w:szCs w:val="32"/>
        </w:rPr>
        <w:t>对于所受处罚不服的，选手必须以书面方式提出申诉书。竞赛委员会认为申诉有理由的，应予撤销处罚；认为申诉无理由的，驳回该申诉并告知驳回理由。竞赛委员会处理申诉的裁决具有终局性。</w:t>
      </w:r>
    </w:p>
    <w:p w14:paraId="26E78AB5">
      <w:pPr>
        <w:pageBreakBefore w:val="0"/>
        <w:kinsoku/>
        <w:wordWrap/>
        <w:topLinePunct w:val="0"/>
        <w:bidi w:val="0"/>
        <w:spacing w:before="240" w:line="360" w:lineRule="auto"/>
        <w:jc w:val="center"/>
        <w:textAlignment w:val="auto"/>
        <w:rPr>
          <w:rFonts w:ascii="Times New Roman" w:hAnsi="Times New Roman" w:eastAsia="黑体"/>
          <w:sz w:val="32"/>
          <w:szCs w:val="32"/>
        </w:rPr>
      </w:pPr>
      <w:r>
        <w:rPr>
          <w:rFonts w:hint="eastAsia" w:ascii="Times New Roman" w:hAnsi="Times New Roman" w:eastAsia="黑体"/>
          <w:sz w:val="32"/>
          <w:szCs w:val="32"/>
        </w:rPr>
        <w:t>第八章 奖励</w:t>
      </w:r>
    </w:p>
    <w:p w14:paraId="704A4291">
      <w:pPr>
        <w:pageBreakBefore w:val="0"/>
        <w:widowControl/>
        <w:kinsoku/>
        <w:wordWrap/>
        <w:topLinePunct w:val="0"/>
        <w:bidi w:val="0"/>
        <w:spacing w:line="360" w:lineRule="auto"/>
        <w:ind w:firstLine="480"/>
        <w:jc w:val="left"/>
        <w:textAlignment w:val="auto"/>
        <w:rPr>
          <w:rFonts w:ascii="Times New Roman" w:hAnsi="Times New Roman" w:eastAsia="仿宋_GB2312" w:cs="宋体"/>
          <w:kern w:val="0"/>
          <w:sz w:val="32"/>
          <w:szCs w:val="32"/>
        </w:rPr>
      </w:pPr>
      <w:r>
        <w:rPr>
          <w:rFonts w:hint="eastAsia" w:ascii="Times New Roman" w:hAnsi="Times New Roman" w:eastAsia="楷体_GB2312"/>
          <w:b/>
          <w:sz w:val="32"/>
          <w:szCs w:val="32"/>
        </w:rPr>
        <w:t>第三十二条[奖项设置]</w:t>
      </w:r>
      <w:r>
        <w:rPr>
          <w:rFonts w:hint="eastAsia" w:ascii="Times New Roman" w:hAnsi="Times New Roman" w:cs="宋体"/>
          <w:kern w:val="0"/>
          <w:sz w:val="32"/>
          <w:szCs w:val="32"/>
        </w:rPr>
        <w:t xml:space="preserve"> </w:t>
      </w:r>
      <w:r>
        <w:rPr>
          <w:rFonts w:hint="eastAsia" w:ascii="Times New Roman" w:hAnsi="Times New Roman" w:eastAsia="仿宋_GB2312"/>
          <w:sz w:val="32"/>
          <w:szCs w:val="32"/>
        </w:rPr>
        <w:t xml:space="preserve">竞赛奖项设置按照浙江省大学生科技竞赛委员会相关规定执行。各参赛队的最终获奖等级，将由竞赛委员会评议公示后，由浙江省大学生科技竞赛委员会发文公布。 </w:t>
      </w:r>
    </w:p>
    <w:p w14:paraId="3C59F369">
      <w:pPr>
        <w:pageBreakBefore w:val="0"/>
        <w:kinsoku/>
        <w:wordWrap/>
        <w:topLinePunct w:val="0"/>
        <w:bidi w:val="0"/>
        <w:spacing w:before="240" w:line="360" w:lineRule="auto"/>
        <w:jc w:val="center"/>
        <w:textAlignment w:val="auto"/>
        <w:rPr>
          <w:rFonts w:ascii="Times New Roman" w:hAnsi="Times New Roman" w:eastAsia="黑体"/>
          <w:sz w:val="32"/>
          <w:szCs w:val="32"/>
        </w:rPr>
      </w:pPr>
      <w:r>
        <w:rPr>
          <w:rFonts w:hint="eastAsia" w:ascii="Times New Roman" w:hAnsi="Times New Roman" w:eastAsia="黑体"/>
          <w:sz w:val="32"/>
          <w:szCs w:val="32"/>
        </w:rPr>
        <w:t>第九章 附则</w:t>
      </w:r>
    </w:p>
    <w:p w14:paraId="09505E91">
      <w:pPr>
        <w:pageBreakBefore w:val="0"/>
        <w:kinsoku/>
        <w:wordWrap/>
        <w:topLinePunct w:val="0"/>
        <w:bidi w:val="0"/>
        <w:spacing w:line="360" w:lineRule="auto"/>
        <w:ind w:firstLine="643" w:firstLineChars="200"/>
        <w:textAlignment w:val="auto"/>
        <w:rPr>
          <w:rFonts w:ascii="Times New Roman" w:hAnsi="Times New Roman" w:eastAsia="仿宋_GB2312"/>
          <w:sz w:val="32"/>
          <w:szCs w:val="32"/>
        </w:rPr>
      </w:pPr>
      <w:r>
        <w:rPr>
          <w:rFonts w:hint="eastAsia" w:ascii="Times New Roman" w:hAnsi="Times New Roman" w:eastAsia="楷体_GB2312"/>
          <w:b/>
          <w:sz w:val="32"/>
          <w:szCs w:val="32"/>
        </w:rPr>
        <w:t xml:space="preserve">第三十三条[规则的效力] </w:t>
      </w:r>
      <w:r>
        <w:rPr>
          <w:rFonts w:hint="eastAsia" w:ascii="Times New Roman" w:hAnsi="Times New Roman" w:eastAsia="仿宋_GB2312"/>
          <w:sz w:val="32"/>
          <w:szCs w:val="32"/>
        </w:rPr>
        <w:t>本规则自公布之日起生效。</w:t>
      </w:r>
    </w:p>
    <w:p w14:paraId="5D792A63">
      <w:pPr>
        <w:pageBreakBefore w:val="0"/>
        <w:kinsoku/>
        <w:wordWrap/>
        <w:topLinePunct w:val="0"/>
        <w:bidi w:val="0"/>
        <w:spacing w:line="360" w:lineRule="auto"/>
        <w:ind w:firstLine="643" w:firstLineChars="200"/>
        <w:textAlignment w:val="auto"/>
        <w:rPr>
          <w:rFonts w:hint="eastAsia" w:ascii="Times New Roman" w:hAnsi="Times New Roman" w:eastAsia="仿宋_GB2312"/>
          <w:sz w:val="32"/>
          <w:szCs w:val="32"/>
        </w:rPr>
      </w:pPr>
      <w:r>
        <w:rPr>
          <w:rFonts w:hint="eastAsia" w:ascii="Times New Roman" w:hAnsi="Times New Roman" w:eastAsia="楷体_GB2312"/>
          <w:b/>
          <w:sz w:val="32"/>
          <w:szCs w:val="32"/>
        </w:rPr>
        <w:t xml:space="preserve">第三十四条[规则的解释] </w:t>
      </w:r>
      <w:r>
        <w:rPr>
          <w:rFonts w:hint="eastAsia" w:ascii="Times New Roman" w:hAnsi="Times New Roman" w:eastAsia="仿宋_GB2312"/>
          <w:sz w:val="32"/>
          <w:szCs w:val="32"/>
        </w:rPr>
        <w:t>浙江省大学生法律职业能力竞赛委员会对本规则享有最终解释权。</w:t>
      </w:r>
    </w:p>
    <w:p w14:paraId="7B1FEC81">
      <w:pPr>
        <w:pageBreakBefore w:val="0"/>
        <w:kinsoku/>
        <w:wordWrap/>
        <w:topLinePunct w:val="0"/>
        <w:bidi w:val="0"/>
        <w:spacing w:line="360" w:lineRule="auto"/>
        <w:ind w:firstLine="640" w:firstLineChars="200"/>
        <w:textAlignment w:val="auto"/>
        <w:rPr>
          <w:rFonts w:hint="eastAsia" w:ascii="Times New Roman" w:hAnsi="Times New Roman" w:eastAsia="仿宋_GB2312"/>
          <w:sz w:val="32"/>
          <w:szCs w:val="32"/>
        </w:rPr>
      </w:pPr>
    </w:p>
    <w:p w14:paraId="37D97202">
      <w:pPr>
        <w:pageBreakBefore w:val="0"/>
        <w:kinsoku/>
        <w:wordWrap/>
        <w:topLinePunct w:val="0"/>
        <w:bidi w:val="0"/>
        <w:spacing w:line="360" w:lineRule="auto"/>
        <w:jc w:val="right"/>
        <w:textAlignment w:val="auto"/>
        <w:rPr>
          <w:rFonts w:ascii="Times New Roman" w:hAnsi="Times New Roman" w:eastAsia="仿宋_GB2312"/>
          <w:sz w:val="32"/>
          <w:szCs w:val="32"/>
          <w:highlight w:val="yellow"/>
        </w:rPr>
      </w:pPr>
    </w:p>
    <w:p w14:paraId="3E9049D4">
      <w:pPr>
        <w:pageBreakBefore w:val="0"/>
        <w:kinsoku/>
        <w:wordWrap/>
        <w:topLinePunct w:val="0"/>
        <w:bidi w:val="0"/>
        <w:spacing w:line="360" w:lineRule="auto"/>
        <w:jc w:val="right"/>
        <w:textAlignment w:val="auto"/>
        <w:rPr>
          <w:rFonts w:ascii="Times New Roman" w:hAnsi="Times New Roman" w:eastAsia="仿宋_GB2312"/>
          <w:sz w:val="32"/>
          <w:szCs w:val="32"/>
          <w:highlight w:val="yellow"/>
        </w:rPr>
      </w:pPr>
    </w:p>
    <w:p w14:paraId="62C54B20">
      <w:pPr>
        <w:pageBreakBefore w:val="0"/>
        <w:kinsoku/>
        <w:wordWrap/>
        <w:topLinePunct w:val="0"/>
        <w:bidi w:val="0"/>
        <w:spacing w:line="360" w:lineRule="auto"/>
        <w:jc w:val="right"/>
        <w:textAlignment w:val="auto"/>
        <w:rPr>
          <w:rFonts w:ascii="Times New Roman" w:hAnsi="Times New Roman" w:eastAsia="仿宋_GB2312"/>
          <w:sz w:val="32"/>
          <w:szCs w:val="32"/>
          <w:highlight w:val="yellow"/>
        </w:rPr>
      </w:pPr>
    </w:p>
    <w:p w14:paraId="55F8614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F73C24"/>
    <w:rsid w:val="03F73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2025-08-01T06:08:00Z</dcterms:created>
  <dc:creator>Xj.</dc:creator>
  <cp:lastModifiedBy>Xj.</cp:lastModifiedBy>
  <dcterms:modified xsi:type="dcterms:W3CDTF">2025-08-01T06:10:50Z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EDC8E597E1E24DB3B07597CBBB879EAC_11</vt:lpwstr>
  </property>
  <property fmtid="{D5CDD505-2E9C-101B-9397-08002B2CF9AE}" pid="4" name="KSOTemplateDocerSaveRecord">
    <vt:lpwstr>eyJoZGlkIjoiZTA4NzIyN2MxYTlmMzQ1NGE2MjU5NWRkMjhlOGMxYTAiLCJ1c2VySWQiOiIxMzc2OTg4NTk0In0=</vt:lpwstr>
  </property>
</Properties>
</file>