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19" w:tblpY="1477"/>
        <w:tblOverlap w:val="never"/>
        <w:tblW w:w="651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6644"/>
        <w:gridCol w:w="1351"/>
        <w:gridCol w:w="831"/>
        <w:gridCol w:w="1038"/>
      </w:tblGrid>
      <w:tr w14:paraId="5A174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E3FA03">
            <w:pPr>
              <w:widowControl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  <w:p w14:paraId="21677A8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沈钧儒法学院普通推免生综合评价明细表</w:t>
            </w:r>
          </w:p>
          <w:bookmarkEnd w:id="0"/>
          <w:p w14:paraId="5593465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班级：      姓名：</w:t>
            </w:r>
          </w:p>
        </w:tc>
      </w:tr>
      <w:tr w14:paraId="2636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A7CE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推选基本标准</w:t>
            </w:r>
          </w:p>
        </w:tc>
        <w:tc>
          <w:tcPr>
            <w:tcW w:w="44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905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1.是否有任何违法违纪处分记录：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2.是否有考试作弊和其他不端行为：</w:t>
            </w:r>
          </w:p>
          <w:p w14:paraId="41D8C2B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3.前三个学年平均学分绩点及年级排名：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4.全国大学生英语六级考试成绩：</w:t>
            </w:r>
          </w:p>
        </w:tc>
      </w:tr>
      <w:tr w14:paraId="6D81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DB6A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评选指标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90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评分标准（综合成绩=学习成绩</w:t>
            </w:r>
            <w:r>
              <w:rPr>
                <w:rFonts w:ascii="Arial" w:hAnsi="Arial" w:eastAsia="宋体" w:cs="Arial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Arial" w:hAnsi="Arial" w:eastAsia="宋体" w:cs="Arial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75%+综合能力</w:t>
            </w:r>
            <w:r>
              <w:rPr>
                <w:rFonts w:ascii="Arial" w:hAnsi="Arial" w:eastAsia="宋体" w:cs="Arial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Arial" w:hAnsi="Arial" w:eastAsia="宋体" w:cs="Arial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15%+创新能力</w:t>
            </w:r>
            <w:r>
              <w:rPr>
                <w:rFonts w:ascii="Arial" w:hAnsi="Arial" w:eastAsia="宋体" w:cs="Arial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Arial" w:hAnsi="Arial" w:eastAsia="宋体" w:cs="Arial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96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具体加分情况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9E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自评分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EB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学院评分</w:t>
            </w:r>
          </w:p>
        </w:tc>
      </w:tr>
      <w:tr w14:paraId="54B8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130D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学习成绩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A25C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学习成绩权重分数由学院教务科统一提供前三学年平均学分绩点。学习成绩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=个人平均学分绩点/年级专业最高个人平均学分绩点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100。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A1B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72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3E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21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FF63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综合能力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F14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获得以下荣誉或特殊经历加分，其他单项荣誉不加分，具体如下：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1.校级优秀党员、十佳大学生（+5分）。</w:t>
            </w:r>
          </w:p>
          <w:p w14:paraId="36321FEE">
            <w:pPr>
              <w:widowControl/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校级三好学生、优秀学生干部、优秀团干部（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+2分）。</w:t>
            </w:r>
          </w:p>
          <w:p w14:paraId="25B19A14">
            <w:pPr>
              <w:widowControl/>
              <w:numPr>
                <w:ilvl w:val="255"/>
                <w:numId w:val="0"/>
              </w:num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市级及以上大型赛会优秀志愿者（须经学校组织选拔；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分，加分累计不超过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  <w:p w14:paraId="1F05F050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4.参军入伍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服役回校、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赴国际组织实习任职（须经学校组织选拔）且完成一个实习期（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+8）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DAFA03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【注：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荣誉类，市级、省级、国家级分别再对应（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+2、+5、+10分）；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同年度同一项荣誉以最高级加分，不重复加分；</w:t>
            </w:r>
            <w:r>
              <w:rPr>
                <w:rFonts w:hint="eastAsia" w:ascii="Calibri" w:hAnsi="Calibri" w:eastAsia="宋体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同一项荣誉加分累计不超过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2次。】</w:t>
            </w:r>
          </w:p>
          <w:p w14:paraId="302D3E1E"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综合能力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=个人综合能力积分/年级最高个人综合能力积分</w:t>
            </w:r>
            <w:r>
              <w:rPr>
                <w:rFonts w:ascii="Arial" w:hAnsi="Arial" w:eastAsia="宋体" w:cs="Arial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C5E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845B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87A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9CA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75E4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创新能力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A4B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1.学术论文：根据学校对于学术期刊的定级标准，学生以第一作者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公开发表学术论文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，五类期刊（+1分，加分累计不超过2次），四类及以上期刊（+10分；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学院指导老师为第一作者、学生为第二作者+3分，加分累计不超过2次，排名第三及以后的作者不加分）。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2.发明专利：以第一授权人获得的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+2分，加分累计不超过2次）。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3.学科竞赛：根据学校对于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学科竞赛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类别的认定（不含艺体类比赛），一类学科竞赛国家级获奖、省级特等及一等、省级二等、省级三等分别对应加分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+10、+8、+5、+2分；二类及三类学科竞赛对应分值减半。【其中，法科生职业能力竞赛之辩论赛、模拟法庭赛所有参赛上场成员全部加分；其他竞赛（含法科生职业能力竞赛之征文赛）排名第二及以后的成员不加分。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4.科研立项：项目负责人获得省“新苗人才计划”、“国创”项目立项及结题+3，校“星光计划”、“本创”项目立项及结题+1。（团队成员不加分，未结题不加分）。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【以上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4项同一项目按最高级加分，不重复加分。】</w:t>
            </w:r>
          </w:p>
          <w:p w14:paraId="4C04251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创新能力=个人创新能力积分/年级最高个人创新能力积分×100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BE0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A76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6A9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979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5A9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备注：以上情况均需提供相关证明材料。</w:t>
            </w:r>
          </w:p>
        </w:tc>
      </w:tr>
    </w:tbl>
    <w:p w14:paraId="233BAB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40855"/>
    <w:rsid w:val="50B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2025-07-24T01:20:00Z</dcterms:created>
  <dc:creator>YANG</dc:creator>
  <cp:lastModifiedBy>YANG</cp:lastModifiedBy>
  <dcterms:modified xsi:type="dcterms:W3CDTF">2025-07-24T01:23:05Z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BBC30E185FC3406D8DE85B52090AAB02_11</vt:lpwstr>
  </property>
  <property fmtid="{D5CDD505-2E9C-101B-9397-08002B2CF9AE}" pid="4" name="KSOTemplateDocerSaveRecord">
    <vt:lpwstr>eyJoZGlkIjoiMjQ5MWUwOGFhYTA4MzQxMTczMWIyOTVmODBmNWM0MTQiLCJ1c2VySWQiOiI0MTE5ODk4NDQifQ==</vt:lpwstr>
  </property>
</Properties>
</file>