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杭州师范大学“青春践行二十大 砥砺奋进新征程”主题班会报名表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学院：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 xml:space="preserve">   </w:t>
      </w:r>
    </w:p>
    <w:tbl>
      <w:tblPr>
        <w:tblStyle w:val="3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65"/>
        <w:gridCol w:w="279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班长及联系方式</w:t>
            </w:r>
          </w:p>
          <w:p>
            <w:pPr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  <w:vertAlign w:val="baseline"/>
                <w:lang w:val="en-US" w:eastAsia="zh-CN"/>
              </w:rPr>
              <w:t>（将作为展示活动联络人）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展示模块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我与祖国共奋进     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我与师大同发展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策划方案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请另附页（策划方案主要包括：主题、目的、时间、地点、参加人员、主要内容、具体安排等，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策划方案将作为评分依据之一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7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学院（公章）：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2023年4月**日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val="en-US" w:eastAsia="zh-CN"/>
        </w:rPr>
        <w:t>备注：请</w:t>
      </w:r>
      <w:r>
        <w:rPr>
          <w:rFonts w:hint="default" w:ascii="Times New Roman" w:hAnsi="Times New Roman" w:eastAsia="仿宋_GB2312" w:cs="仿宋_GB2312"/>
          <w:sz w:val="24"/>
          <w:szCs w:val="24"/>
          <w:u w:val="none"/>
          <w:lang w:val="en-US" w:eastAsia="zh-CN"/>
        </w:rPr>
        <w:t>于4月28日前报送党委学工部（纸质版加盖学院公章报交至行政楼227办公室，电子版发送至xgbxsc@hznu.edu.cn）。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zNjOTgwMzQzNGM0NTc0YjVhM2FmNTlkODYyYjIifQ=="/>
  </w:docVars>
  <w:rsids>
    <w:rsidRoot w:val="12267530"/>
    <w:rsid w:val="122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2023-04-10T08:07:00Z</dcterms:created>
  <dc:creator>A</dc:creator>
  <cp:lastModifiedBy>A</cp:lastModifiedBy>
  <dcterms:modified xsi:type="dcterms:W3CDTF">2023-04-10T08:07:55Z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C41A65A979024C598CBA64300AFCADD8_11</vt:lpwstr>
  </property>
</Properties>
</file>