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DA915" w14:textId="19965252" w:rsidR="007848CB" w:rsidRPr="003774C6" w:rsidRDefault="003774C6" w:rsidP="003774C6">
      <w:pPr>
        <w:jc w:val="center"/>
      </w:pPr>
      <w:r w:rsidRPr="003774C6">
        <w:rPr>
          <w:rFonts w:ascii="Microsoft JhengHei" w:eastAsia="DengXian" w:hAnsi="Microsoft JhengHei" w:hint="eastAsia"/>
          <w:sz w:val="20"/>
          <w:szCs w:val="20"/>
          <w:lang w:eastAsia="zh-CN"/>
        </w:rPr>
        <w:t>信息法国际</w:t>
      </w:r>
      <w:r w:rsidR="00DE0E8E">
        <w:rPr>
          <w:rFonts w:ascii="Microsoft JhengHei" w:eastAsia="DengXian" w:hAnsi="Microsoft JhengHei" w:hint="eastAsia"/>
          <w:sz w:val="20"/>
          <w:szCs w:val="20"/>
          <w:lang w:eastAsia="zh-CN"/>
        </w:rPr>
        <w:t>学术研讨会</w:t>
      </w:r>
    </w:p>
    <w:p w14:paraId="3BD9C6C9" w14:textId="16F5969F" w:rsidR="00F841A3" w:rsidRPr="003774C6" w:rsidRDefault="003774C6" w:rsidP="003774C6">
      <w:pPr>
        <w:jc w:val="center"/>
        <w:rPr>
          <w:rFonts w:ascii="Microsoft JhengHei" w:eastAsia="DengXian" w:hAnsi="Microsoft JhengHei"/>
          <w:sz w:val="20"/>
          <w:szCs w:val="20"/>
          <w:lang w:eastAsia="zh-CN"/>
        </w:rPr>
      </w:pPr>
      <w:r w:rsidRPr="003774C6">
        <w:rPr>
          <w:rFonts w:ascii="Microsoft JhengHei" w:eastAsia="DengXian" w:hAnsi="Microsoft JhengHei" w:hint="eastAsia"/>
          <w:sz w:val="20"/>
          <w:szCs w:val="20"/>
          <w:lang w:eastAsia="zh-CN"/>
        </w:rPr>
        <w:t>参与者报告题目和</w:t>
      </w:r>
      <w:r w:rsidR="009262DF">
        <w:rPr>
          <w:rFonts w:ascii="Microsoft JhengHei" w:eastAsia="DengXian" w:hAnsi="Microsoft JhengHei" w:hint="eastAsia"/>
          <w:sz w:val="20"/>
          <w:szCs w:val="20"/>
          <w:lang w:eastAsia="zh-CN"/>
        </w:rPr>
        <w:t>摘要</w:t>
      </w:r>
    </w:p>
    <w:tbl>
      <w:tblPr>
        <w:tblStyle w:val="a3"/>
        <w:tblW w:w="0" w:type="auto"/>
        <w:tblLook w:val="04A0" w:firstRow="1" w:lastRow="0" w:firstColumn="1" w:lastColumn="0" w:noHBand="0" w:noVBand="1"/>
      </w:tblPr>
      <w:tblGrid>
        <w:gridCol w:w="3539"/>
        <w:gridCol w:w="10409"/>
      </w:tblGrid>
      <w:tr w:rsidR="00F841A3" w:rsidRPr="00B24F5D" w14:paraId="0F573761" w14:textId="77777777" w:rsidTr="00F841A3">
        <w:tc>
          <w:tcPr>
            <w:tcW w:w="3539" w:type="dxa"/>
            <w:shd w:val="clear" w:color="auto" w:fill="FFFF00"/>
          </w:tcPr>
          <w:p w14:paraId="577E2D09" w14:textId="769C9C13" w:rsidR="00F841A3" w:rsidRPr="00B24F5D" w:rsidRDefault="003774C6" w:rsidP="00F841A3">
            <w:pPr>
              <w:rPr>
                <w:rFonts w:eastAsia="Microsoft JhengHei" w:cstheme="minorHAnsi"/>
                <w:sz w:val="20"/>
                <w:szCs w:val="20"/>
                <w:lang w:eastAsia="zh-CN"/>
              </w:rPr>
            </w:pPr>
            <w:r w:rsidRPr="00B24F5D">
              <w:rPr>
                <w:rFonts w:eastAsia="DengXian" w:cstheme="minorHAnsi" w:hint="eastAsia"/>
                <w:sz w:val="20"/>
                <w:szCs w:val="20"/>
                <w:lang w:eastAsia="zh-CN"/>
              </w:rPr>
              <w:t>黄继儿</w:t>
            </w:r>
          </w:p>
          <w:p w14:paraId="3E707449" w14:textId="6EEEA5C2" w:rsidR="00F841A3" w:rsidRPr="00B24F5D" w:rsidRDefault="003774C6" w:rsidP="00F841A3">
            <w:pPr>
              <w:rPr>
                <w:rFonts w:eastAsia="Microsoft JhengHei" w:cstheme="minorHAnsi"/>
                <w:sz w:val="20"/>
                <w:szCs w:val="20"/>
              </w:rPr>
            </w:pPr>
            <w:r w:rsidRPr="00B24F5D">
              <w:rPr>
                <w:rFonts w:eastAsia="DengXian" w:cstheme="minorHAnsi"/>
                <w:sz w:val="20"/>
                <w:szCs w:val="20"/>
                <w:lang w:eastAsia="zh-CN"/>
              </w:rPr>
              <w:t>Stephen WONG</w:t>
            </w:r>
          </w:p>
        </w:tc>
        <w:tc>
          <w:tcPr>
            <w:tcW w:w="10409" w:type="dxa"/>
            <w:shd w:val="clear" w:color="auto" w:fill="FFFF00"/>
          </w:tcPr>
          <w:p w14:paraId="21A3DC25" w14:textId="4376DD45" w:rsidR="00F841A3" w:rsidRPr="003774C6" w:rsidRDefault="003774C6" w:rsidP="003774C6">
            <w:pPr>
              <w:jc w:val="both"/>
              <w:rPr>
                <w:rFonts w:cstheme="minorHAnsi"/>
                <w:sz w:val="20"/>
                <w:szCs w:val="20"/>
                <w:shd w:val="clear" w:color="auto" w:fill="FFFF00"/>
              </w:rPr>
            </w:pPr>
            <w:r w:rsidRPr="003774C6">
              <w:rPr>
                <w:rFonts w:eastAsia="DengXian" w:cstheme="minorHAnsi" w:hint="eastAsia"/>
                <w:sz w:val="20"/>
                <w:szCs w:val="20"/>
                <w:lang w:eastAsia="zh-CN"/>
              </w:rPr>
              <w:t>报告题目</w:t>
            </w:r>
            <w:r w:rsidRPr="003774C6">
              <w:rPr>
                <w:rFonts w:eastAsia="DengXian" w:cstheme="minorHAnsi"/>
                <w:sz w:val="20"/>
                <w:szCs w:val="20"/>
                <w:lang w:eastAsia="zh-CN"/>
              </w:rPr>
              <w:t xml:space="preserve">Title: </w:t>
            </w:r>
            <w:r w:rsidRPr="003774C6">
              <w:rPr>
                <w:rFonts w:eastAsia="DengXian" w:cstheme="minorHAnsi"/>
                <w:sz w:val="20"/>
                <w:szCs w:val="20"/>
                <w:shd w:val="clear" w:color="auto" w:fill="FFFF00"/>
                <w:lang w:eastAsia="zh-CN"/>
              </w:rPr>
              <w:t>International Data Flows vs Domestic Data Sharing Regulations</w:t>
            </w:r>
          </w:p>
          <w:p w14:paraId="7B29D82D" w14:textId="4BADA849" w:rsidR="00F841A3" w:rsidRPr="00B24F5D" w:rsidRDefault="003774C6" w:rsidP="003774C6">
            <w:pPr>
              <w:jc w:val="both"/>
              <w:rPr>
                <w:rFonts w:cstheme="minorHAnsi"/>
                <w:sz w:val="20"/>
                <w:szCs w:val="20"/>
              </w:rPr>
            </w:pPr>
            <w:r w:rsidRPr="003774C6">
              <w:rPr>
                <w:rFonts w:eastAsia="DengXian" w:cstheme="minorHAnsi" w:hint="eastAsia"/>
                <w:sz w:val="20"/>
                <w:szCs w:val="20"/>
                <w:shd w:val="clear" w:color="auto" w:fill="FFFF00"/>
                <w:lang w:eastAsia="zh-CN"/>
              </w:rPr>
              <w:t>报告</w:t>
            </w:r>
            <w:r w:rsidR="009262DF">
              <w:rPr>
                <w:rFonts w:eastAsia="DengXian" w:cstheme="minorHAnsi" w:hint="eastAsia"/>
                <w:sz w:val="20"/>
                <w:szCs w:val="20"/>
                <w:shd w:val="clear" w:color="auto" w:fill="FFFF00"/>
                <w:lang w:eastAsia="zh-CN"/>
              </w:rPr>
              <w:t>摘要</w:t>
            </w:r>
            <w:r w:rsidRPr="003774C6">
              <w:rPr>
                <w:rFonts w:eastAsia="DengXian" w:cstheme="minorHAnsi"/>
                <w:sz w:val="20"/>
                <w:szCs w:val="20"/>
                <w:shd w:val="clear" w:color="auto" w:fill="FFFF00"/>
                <w:lang w:eastAsia="zh-CN"/>
              </w:rPr>
              <w:t xml:space="preserve">Abstract: In this data driven economy, data (personal data in particular) is not merely oil, gold, or money for </w:t>
            </w:r>
            <w:proofErr w:type="spellStart"/>
            <w:r w:rsidRPr="003774C6">
              <w:rPr>
                <w:rFonts w:eastAsia="DengXian" w:cstheme="minorHAnsi"/>
                <w:sz w:val="20"/>
                <w:szCs w:val="20"/>
                <w:shd w:val="clear" w:color="auto" w:fill="FFFF00"/>
                <w:lang w:eastAsia="zh-CN"/>
              </w:rPr>
              <w:t>organisations</w:t>
            </w:r>
            <w:proofErr w:type="spellEnd"/>
            <w:r w:rsidRPr="003774C6">
              <w:rPr>
                <w:rFonts w:eastAsia="DengXian" w:cstheme="minorHAnsi"/>
                <w:sz w:val="20"/>
                <w:szCs w:val="20"/>
                <w:shd w:val="clear" w:color="auto" w:fill="FFFF00"/>
                <w:lang w:eastAsia="zh-CN"/>
              </w:rPr>
              <w:t xml:space="preserve"> but fuel for ICT and economic development. Hence there is a demand for data within and beyond borders for all economic purposes, and understandably expectation of digital citizens that their privacy be respected and protected. The EU GDPR and the EUCJ’s decision in </w:t>
            </w:r>
            <w:proofErr w:type="spellStart"/>
            <w:r w:rsidRPr="003774C6">
              <w:rPr>
                <w:rFonts w:eastAsia="DengXian" w:cstheme="minorHAnsi"/>
                <w:sz w:val="20"/>
                <w:szCs w:val="20"/>
                <w:shd w:val="clear" w:color="auto" w:fill="FFFF00"/>
                <w:lang w:eastAsia="zh-CN"/>
              </w:rPr>
              <w:t>Schrems</w:t>
            </w:r>
            <w:proofErr w:type="spellEnd"/>
            <w:r w:rsidRPr="003774C6">
              <w:rPr>
                <w:rFonts w:eastAsia="DengXian" w:cstheme="minorHAnsi"/>
                <w:sz w:val="20"/>
                <w:szCs w:val="20"/>
                <w:shd w:val="clear" w:color="auto" w:fill="FFFF00"/>
                <w:lang w:eastAsia="zh-CN"/>
              </w:rPr>
              <w:t xml:space="preserve"> II (2020) seem to have sparked off a tsunami effect around the globe in that in protecting personal data privacy right, which is a fundamental human right, cross-border/boundary data transfers are being statutorily tightened up - the more recent case being the implementation on 1 November 2021 of the Chinese Personal Information Protection Law.</w:t>
            </w:r>
          </w:p>
        </w:tc>
      </w:tr>
      <w:tr w:rsidR="00F841A3" w:rsidRPr="00B24F5D" w14:paraId="588ABA5D" w14:textId="77777777" w:rsidTr="00F841A3">
        <w:tc>
          <w:tcPr>
            <w:tcW w:w="3539" w:type="dxa"/>
            <w:shd w:val="clear" w:color="auto" w:fill="FFFF00"/>
          </w:tcPr>
          <w:p w14:paraId="1FF42FA0" w14:textId="22FC313F" w:rsidR="00F841A3" w:rsidRPr="00B24F5D" w:rsidRDefault="003774C6">
            <w:pPr>
              <w:rPr>
                <w:rFonts w:cstheme="minorHAnsi"/>
                <w:sz w:val="20"/>
                <w:szCs w:val="20"/>
              </w:rPr>
            </w:pPr>
            <w:r w:rsidRPr="00B24F5D">
              <w:rPr>
                <w:rFonts w:eastAsia="DengXian" w:cstheme="minorHAnsi"/>
                <w:sz w:val="20"/>
                <w:szCs w:val="20"/>
                <w:lang w:eastAsia="zh-CN"/>
              </w:rPr>
              <w:t>Simone CALZOLAIO</w:t>
            </w:r>
          </w:p>
        </w:tc>
        <w:tc>
          <w:tcPr>
            <w:tcW w:w="10409" w:type="dxa"/>
            <w:shd w:val="clear" w:color="auto" w:fill="FFFF00"/>
          </w:tcPr>
          <w:p w14:paraId="2DE78595" w14:textId="062DB4C7" w:rsidR="00F841A3" w:rsidRPr="00B24F5D" w:rsidRDefault="003774C6" w:rsidP="00B24F5D">
            <w:pPr>
              <w:shd w:val="clear" w:color="auto" w:fill="FFFF00"/>
              <w:jc w:val="both"/>
              <w:rPr>
                <w:rFonts w:cstheme="minorHAnsi"/>
                <w:sz w:val="20"/>
                <w:szCs w:val="20"/>
              </w:rPr>
            </w:pPr>
            <w:r w:rsidRPr="003774C6">
              <w:rPr>
                <w:rFonts w:eastAsia="DengXian" w:cstheme="minorHAnsi" w:hint="eastAsia"/>
                <w:sz w:val="20"/>
                <w:szCs w:val="20"/>
                <w:lang w:eastAsia="zh-CN"/>
              </w:rPr>
              <w:t>报告题目</w:t>
            </w:r>
            <w:r w:rsidRPr="003774C6">
              <w:rPr>
                <w:rFonts w:eastAsia="DengXian" w:cstheme="minorHAnsi"/>
                <w:sz w:val="20"/>
                <w:szCs w:val="20"/>
                <w:lang w:eastAsia="zh-CN"/>
              </w:rPr>
              <w:t>Title:</w:t>
            </w:r>
            <w:r w:rsidRPr="003774C6">
              <w:rPr>
                <w:rFonts w:eastAsia="DengXian" w:cstheme="minorHAnsi"/>
                <w:sz w:val="20"/>
                <w:szCs w:val="20"/>
                <w:shd w:val="clear" w:color="auto" w:fill="FFFF00"/>
                <w:lang w:eastAsia="zh-CN"/>
              </w:rPr>
              <w:t xml:space="preserve"> From Privacy by Design to Data by Design</w:t>
            </w:r>
          </w:p>
          <w:p w14:paraId="1CFEF1B9" w14:textId="3601F189" w:rsidR="00B24F5D" w:rsidRPr="00B24F5D" w:rsidRDefault="003774C6" w:rsidP="00B24F5D">
            <w:pPr>
              <w:pStyle w:val="a4"/>
              <w:shd w:val="clear" w:color="auto" w:fill="FFFF00"/>
              <w:spacing w:before="0" w:beforeAutospacing="0" w:after="0" w:afterAutospacing="0"/>
              <w:jc w:val="both"/>
              <w:rPr>
                <w:rFonts w:asciiTheme="minorHAnsi" w:eastAsia="PMingLiU" w:hAnsiTheme="minorHAnsi" w:cstheme="minorHAnsi"/>
                <w:sz w:val="20"/>
                <w:szCs w:val="20"/>
              </w:rPr>
            </w:pPr>
            <w:r w:rsidRPr="003774C6">
              <w:rPr>
                <w:rFonts w:asciiTheme="minorHAnsi" w:eastAsia="DengXian" w:hAnsiTheme="minorHAnsi" w:cstheme="minorHAnsi" w:hint="eastAsia"/>
                <w:sz w:val="20"/>
                <w:szCs w:val="20"/>
                <w:lang w:eastAsia="zh-CN"/>
              </w:rPr>
              <w:t>报告</w:t>
            </w:r>
            <w:r w:rsidR="009262DF">
              <w:rPr>
                <w:rFonts w:eastAsia="DengXian" w:cstheme="minorHAnsi" w:hint="eastAsia"/>
                <w:sz w:val="20"/>
                <w:szCs w:val="20"/>
                <w:shd w:val="clear" w:color="auto" w:fill="FFFF00"/>
                <w:lang w:eastAsia="zh-CN"/>
              </w:rPr>
              <w:t>摘要</w:t>
            </w:r>
            <w:r w:rsidR="009262DF">
              <w:rPr>
                <w:rFonts w:eastAsia="DengXian" w:cstheme="minorHAnsi" w:hint="eastAsia"/>
                <w:sz w:val="20"/>
                <w:szCs w:val="20"/>
                <w:shd w:val="clear" w:color="auto" w:fill="FFFF00"/>
                <w:lang w:eastAsia="zh-CN"/>
              </w:rPr>
              <w:t xml:space="preserve"> </w:t>
            </w:r>
            <w:r w:rsidRPr="003774C6">
              <w:rPr>
                <w:rFonts w:asciiTheme="minorHAnsi" w:eastAsia="DengXian" w:hAnsiTheme="minorHAnsi" w:cstheme="minorHAnsi"/>
                <w:sz w:val="20"/>
                <w:szCs w:val="20"/>
                <w:lang w:eastAsia="zh-CN"/>
              </w:rPr>
              <w:t xml:space="preserve">Abstract: </w:t>
            </w:r>
            <w:r w:rsidRPr="003774C6">
              <w:rPr>
                <w:rFonts w:asciiTheme="minorHAnsi" w:eastAsia="DengXian" w:hAnsiTheme="minorHAnsi" w:cstheme="minorHAnsi"/>
                <w:sz w:val="20"/>
                <w:szCs w:val="20"/>
                <w:bdr w:val="none" w:sz="0" w:space="0" w:color="auto" w:frame="1"/>
                <w:lang w:eastAsia="zh-CN"/>
              </w:rPr>
              <w:t>With the advent of technologies based on artificial intelligence, the risks deriving from the systematic breach of personal data by both public authorities and large private industries have increased. To protect personal data, a strategy is required that takes into account the risks for individuals deriving from the analysis and exploitation of data sets (personal data, non-personal data, important or strategic data) through which it is possible to profile, control, limit the life and freedom of individuals, civil society, territories and nation states.</w:t>
            </w:r>
          </w:p>
          <w:p w14:paraId="7B8BFE53" w14:textId="60BB75C1" w:rsidR="00B24F5D" w:rsidRPr="00B24F5D" w:rsidRDefault="003774C6" w:rsidP="00B24F5D">
            <w:pPr>
              <w:pStyle w:val="a4"/>
              <w:shd w:val="clear" w:color="auto" w:fill="FFFF00"/>
              <w:spacing w:before="0" w:beforeAutospacing="0" w:after="0" w:afterAutospacing="0"/>
              <w:jc w:val="both"/>
              <w:rPr>
                <w:rFonts w:asciiTheme="minorHAnsi" w:eastAsia="PMingLiU" w:hAnsiTheme="minorHAnsi" w:cstheme="minorHAnsi"/>
                <w:sz w:val="20"/>
                <w:szCs w:val="20"/>
              </w:rPr>
            </w:pPr>
            <w:r w:rsidRPr="003774C6">
              <w:rPr>
                <w:rFonts w:asciiTheme="minorHAnsi" w:eastAsia="DengXian" w:hAnsiTheme="minorHAnsi" w:cstheme="minorHAnsi"/>
                <w:sz w:val="20"/>
                <w:szCs w:val="20"/>
                <w:bdr w:val="none" w:sz="0" w:space="0" w:color="auto" w:frame="1"/>
                <w:lang w:eastAsia="zh-CN"/>
              </w:rPr>
              <w:t>In this context, in different ways, both in European law and in Chinese law, it is necessary to manage the distinction between personal data, non-personal data and important or strategic data, as a single set of data, through the legal regulation of personal data, artificial intelligence, social media activities.</w:t>
            </w:r>
          </w:p>
          <w:p w14:paraId="44A8B83A" w14:textId="79CCF1D6" w:rsidR="00B24F5D" w:rsidRPr="00B24F5D" w:rsidRDefault="003774C6" w:rsidP="00B24F5D">
            <w:pPr>
              <w:pStyle w:val="a4"/>
              <w:shd w:val="clear" w:color="auto" w:fill="FFFF00"/>
              <w:spacing w:before="0" w:beforeAutospacing="0" w:after="0" w:afterAutospacing="0"/>
              <w:jc w:val="both"/>
              <w:rPr>
                <w:rFonts w:asciiTheme="minorHAnsi" w:eastAsia="PMingLiU" w:hAnsiTheme="minorHAnsi" w:cstheme="minorHAnsi"/>
                <w:sz w:val="20"/>
                <w:szCs w:val="20"/>
              </w:rPr>
            </w:pPr>
            <w:r w:rsidRPr="003774C6">
              <w:rPr>
                <w:rFonts w:asciiTheme="minorHAnsi" w:eastAsia="DengXian" w:hAnsiTheme="minorHAnsi" w:cstheme="minorHAnsi"/>
                <w:sz w:val="20"/>
                <w:szCs w:val="20"/>
                <w:bdr w:val="none" w:sz="0" w:space="0" w:color="auto" w:frame="1"/>
                <w:lang w:eastAsia="zh-CN"/>
              </w:rPr>
              <w:t>For these reasons, privacy is no longer just a matter of protecting the individual, considered in isolation. Protecting privacy implies protecting the person in the social and institutional environment in which he lives and works. This is the immense task of 21st century law and constitutionalism.</w:t>
            </w:r>
          </w:p>
          <w:p w14:paraId="75D3C71E" w14:textId="17B06F80" w:rsidR="00F841A3" w:rsidRPr="00B24F5D" w:rsidRDefault="00F841A3" w:rsidP="00F841A3">
            <w:pPr>
              <w:rPr>
                <w:rFonts w:cstheme="minorHAnsi"/>
                <w:sz w:val="20"/>
                <w:szCs w:val="20"/>
              </w:rPr>
            </w:pPr>
          </w:p>
        </w:tc>
      </w:tr>
      <w:tr w:rsidR="00F841A3" w:rsidRPr="00B24F5D" w14:paraId="03E21D6C" w14:textId="77777777" w:rsidTr="00B24F5D">
        <w:tc>
          <w:tcPr>
            <w:tcW w:w="3539" w:type="dxa"/>
            <w:shd w:val="clear" w:color="auto" w:fill="FFC000"/>
          </w:tcPr>
          <w:p w14:paraId="036797FC" w14:textId="675A3959" w:rsidR="00B24F5D" w:rsidRPr="00B24F5D" w:rsidRDefault="003774C6" w:rsidP="00B24F5D">
            <w:pPr>
              <w:rPr>
                <w:rFonts w:eastAsia="Microsoft JhengHei" w:cstheme="minorHAnsi"/>
                <w:sz w:val="20"/>
                <w:szCs w:val="20"/>
              </w:rPr>
            </w:pPr>
            <w:r w:rsidRPr="00B24F5D">
              <w:rPr>
                <w:rFonts w:eastAsia="DengXian" w:cstheme="minorHAnsi" w:hint="eastAsia"/>
                <w:sz w:val="20"/>
                <w:szCs w:val="20"/>
                <w:lang w:eastAsia="zh-CN"/>
              </w:rPr>
              <w:lastRenderedPageBreak/>
              <w:t>赵之威</w:t>
            </w:r>
          </w:p>
          <w:p w14:paraId="5D1C7459" w14:textId="251A7BAD" w:rsidR="00F841A3" w:rsidRPr="00B24F5D" w:rsidRDefault="003774C6" w:rsidP="00B24F5D">
            <w:pPr>
              <w:rPr>
                <w:rFonts w:eastAsia="Microsoft JhengHei" w:cstheme="minorHAnsi"/>
                <w:sz w:val="20"/>
                <w:szCs w:val="20"/>
              </w:rPr>
            </w:pPr>
            <w:r w:rsidRPr="00B24F5D">
              <w:rPr>
                <w:rFonts w:eastAsia="DengXian" w:cstheme="minorHAnsi"/>
                <w:sz w:val="20"/>
                <w:szCs w:val="20"/>
                <w:lang w:eastAsia="zh-CN"/>
              </w:rPr>
              <w:t>Alan CHIU</w:t>
            </w:r>
          </w:p>
        </w:tc>
        <w:tc>
          <w:tcPr>
            <w:tcW w:w="10409" w:type="dxa"/>
            <w:shd w:val="clear" w:color="auto" w:fill="FFC000"/>
          </w:tcPr>
          <w:p w14:paraId="2AF61458" w14:textId="0AC619CF" w:rsidR="00B24F5D" w:rsidRPr="00001FBF" w:rsidRDefault="003774C6" w:rsidP="00001FBF">
            <w:pPr>
              <w:shd w:val="clear" w:color="auto" w:fill="FFC000"/>
              <w:rPr>
                <w:rFonts w:cstheme="minorHAnsi"/>
                <w:sz w:val="20"/>
                <w:szCs w:val="20"/>
                <w:shd w:val="clear" w:color="auto" w:fill="FFC000"/>
              </w:rPr>
            </w:pPr>
            <w:r w:rsidRPr="003774C6">
              <w:rPr>
                <w:rFonts w:eastAsia="DengXian" w:cstheme="minorHAnsi" w:hint="eastAsia"/>
                <w:sz w:val="20"/>
                <w:szCs w:val="20"/>
                <w:lang w:eastAsia="zh-CN"/>
              </w:rPr>
              <w:t>报告题目</w:t>
            </w:r>
            <w:r w:rsidRPr="003774C6">
              <w:rPr>
                <w:rFonts w:eastAsia="DengXian" w:cstheme="minorHAnsi"/>
                <w:sz w:val="20"/>
                <w:szCs w:val="20"/>
                <w:lang w:eastAsia="zh-CN"/>
              </w:rPr>
              <w:t xml:space="preserve">Title: </w:t>
            </w:r>
            <w:r w:rsidRPr="003774C6">
              <w:rPr>
                <w:rFonts w:eastAsia="DengXian" w:cstheme="minorHAnsi"/>
                <w:sz w:val="20"/>
                <w:szCs w:val="20"/>
                <w:shd w:val="clear" w:color="auto" w:fill="FFC000"/>
                <w:lang w:eastAsia="zh-CN"/>
              </w:rPr>
              <w:t> Cybersecurity in Asia - An Urgent Call to Action</w:t>
            </w:r>
          </w:p>
          <w:p w14:paraId="27A8701F" w14:textId="1D511836" w:rsidR="00F841A3" w:rsidRPr="00001FBF" w:rsidRDefault="003774C6" w:rsidP="00001FBF">
            <w:pPr>
              <w:jc w:val="both"/>
              <w:rPr>
                <w:rFonts w:cstheme="minorHAnsi"/>
                <w:sz w:val="20"/>
                <w:szCs w:val="20"/>
              </w:rPr>
            </w:pPr>
            <w:r w:rsidRPr="003774C6">
              <w:rPr>
                <w:rFonts w:eastAsia="DengXian" w:cstheme="minorHAnsi" w:hint="eastAsia"/>
                <w:sz w:val="20"/>
                <w:szCs w:val="20"/>
                <w:lang w:eastAsia="zh-CN"/>
              </w:rPr>
              <w:t>报告</w:t>
            </w:r>
            <w:r w:rsidR="009262DF" w:rsidRPr="009262DF">
              <w:rPr>
                <w:rFonts w:eastAsia="DengXian" w:cstheme="minorHAnsi" w:hint="eastAsia"/>
                <w:sz w:val="20"/>
                <w:szCs w:val="20"/>
                <w:lang w:eastAsia="zh-CN"/>
              </w:rPr>
              <w:t>摘要</w:t>
            </w:r>
            <w:r w:rsidRPr="003774C6">
              <w:rPr>
                <w:rFonts w:eastAsia="DengXian" w:cstheme="minorHAnsi"/>
                <w:sz w:val="20"/>
                <w:szCs w:val="20"/>
                <w:lang w:eastAsia="zh-CN"/>
              </w:rPr>
              <w:t>Abstract:</w:t>
            </w:r>
            <w:r w:rsidRPr="003774C6">
              <w:rPr>
                <w:rFonts w:eastAsia="DengXian" w:cstheme="minorHAnsi"/>
                <w:sz w:val="20"/>
                <w:szCs w:val="20"/>
                <w:shd w:val="clear" w:color="auto" w:fill="FFC000"/>
                <w:lang w:eastAsia="zh-CN"/>
              </w:rPr>
              <w:t xml:space="preserve"> </w:t>
            </w:r>
            <w:r w:rsidRPr="003774C6">
              <w:rPr>
                <w:rFonts w:eastAsia="DengXian" w:cstheme="minorHAnsi"/>
                <w:color w:val="201F1E"/>
                <w:sz w:val="20"/>
                <w:szCs w:val="20"/>
                <w:shd w:val="clear" w:color="auto" w:fill="FFC000"/>
                <w:lang w:eastAsia="zh-CN"/>
              </w:rPr>
              <w:t xml:space="preserve">Cybercrime is becoming a greater risk when doing businesses in Asia as compared to North America and Europe. Rapidly growing connectivity and the accelerating pace of digital transformation expose the Asia region, and make it particularly vulnerable to cyber exploitation. </w:t>
            </w:r>
            <w:proofErr w:type="spellStart"/>
            <w:r w:rsidRPr="003774C6">
              <w:rPr>
                <w:rFonts w:eastAsia="DengXian" w:cstheme="minorHAnsi"/>
                <w:color w:val="201F1E"/>
                <w:sz w:val="20"/>
                <w:szCs w:val="20"/>
                <w:shd w:val="clear" w:color="auto" w:fill="FFC000"/>
                <w:lang w:eastAsia="zh-CN"/>
              </w:rPr>
              <w:t>Cyber attacks</w:t>
            </w:r>
            <w:proofErr w:type="spellEnd"/>
            <w:r w:rsidRPr="003774C6">
              <w:rPr>
                <w:rFonts w:eastAsia="DengXian" w:cstheme="minorHAnsi"/>
                <w:color w:val="201F1E"/>
                <w:sz w:val="20"/>
                <w:szCs w:val="20"/>
                <w:shd w:val="clear" w:color="auto" w:fill="FFC000"/>
                <w:lang w:eastAsia="zh-CN"/>
              </w:rPr>
              <w:t xml:space="preserve"> are known to be low-cost yet capable of severe damages, while cyber adversaries are not limited by geographical boundaries. Legislations, enforcement and education are the key actions called for. We will discuss and evaluate what efforts China, Hong Kong, Singapore and other jurisdictions in Asia have made to combat cyber threats in recent years.</w:t>
            </w:r>
          </w:p>
        </w:tc>
      </w:tr>
      <w:tr w:rsidR="00F841A3" w:rsidRPr="00B24F5D" w14:paraId="1E788742" w14:textId="77777777" w:rsidTr="00B24F5D">
        <w:tc>
          <w:tcPr>
            <w:tcW w:w="3539" w:type="dxa"/>
            <w:shd w:val="clear" w:color="auto" w:fill="FFC000"/>
          </w:tcPr>
          <w:p w14:paraId="148F68A4" w14:textId="5B2342D2" w:rsidR="00F841A3" w:rsidRPr="00B24F5D" w:rsidRDefault="003774C6" w:rsidP="00B24F5D">
            <w:pPr>
              <w:rPr>
                <w:rFonts w:cstheme="minorHAnsi"/>
              </w:rPr>
            </w:pPr>
            <w:proofErr w:type="spellStart"/>
            <w:r w:rsidRPr="00B24F5D">
              <w:rPr>
                <w:rFonts w:eastAsia="DengXian" w:cstheme="minorHAnsi"/>
                <w:sz w:val="20"/>
                <w:szCs w:val="20"/>
                <w:lang w:eastAsia="zh-CN"/>
              </w:rPr>
              <w:t>Ermanno</w:t>
            </w:r>
            <w:proofErr w:type="spellEnd"/>
            <w:r w:rsidRPr="00B24F5D">
              <w:rPr>
                <w:rFonts w:eastAsia="DengXian" w:cstheme="minorHAnsi"/>
                <w:sz w:val="20"/>
                <w:szCs w:val="20"/>
                <w:lang w:eastAsia="zh-CN"/>
              </w:rPr>
              <w:t xml:space="preserve"> CALZOLAIO</w:t>
            </w:r>
          </w:p>
        </w:tc>
        <w:tc>
          <w:tcPr>
            <w:tcW w:w="10409" w:type="dxa"/>
            <w:shd w:val="clear" w:color="auto" w:fill="FFC000"/>
          </w:tcPr>
          <w:p w14:paraId="05F0F504" w14:textId="1774A2C0" w:rsidR="00B24F5D" w:rsidRPr="003774C6" w:rsidRDefault="003774C6" w:rsidP="003774C6">
            <w:pPr>
              <w:widowControl/>
              <w:shd w:val="clear" w:color="auto" w:fill="FFC000"/>
              <w:textAlignment w:val="baseline"/>
              <w:rPr>
                <w:rFonts w:eastAsia="Microsoft JhengHei UI" w:cstheme="minorHAnsi"/>
                <w:color w:val="201F1E"/>
                <w:sz w:val="20"/>
                <w:szCs w:val="20"/>
                <w:shd w:val="clear" w:color="auto" w:fill="FFC000"/>
              </w:rPr>
            </w:pPr>
            <w:r w:rsidRPr="003774C6">
              <w:rPr>
                <w:rFonts w:eastAsia="DengXian" w:cstheme="minorHAnsi" w:hint="eastAsia"/>
                <w:color w:val="201F1E"/>
                <w:sz w:val="20"/>
                <w:szCs w:val="20"/>
                <w:shd w:val="clear" w:color="auto" w:fill="FFC000"/>
                <w:lang w:eastAsia="zh-CN"/>
              </w:rPr>
              <w:t>报告题目</w:t>
            </w:r>
            <w:r w:rsidRPr="003774C6">
              <w:rPr>
                <w:rFonts w:eastAsia="DengXian" w:cstheme="minorHAnsi"/>
                <w:color w:val="201F1E"/>
                <w:sz w:val="20"/>
                <w:szCs w:val="20"/>
                <w:shd w:val="clear" w:color="auto" w:fill="FFC000"/>
                <w:lang w:eastAsia="zh-CN"/>
              </w:rPr>
              <w:t>Title: Comparative Law between Bitcoin and Data</w:t>
            </w:r>
          </w:p>
          <w:p w14:paraId="5CAE1C17" w14:textId="0F345FFE" w:rsidR="00F841A3" w:rsidRPr="003774C6" w:rsidRDefault="003774C6" w:rsidP="003774C6">
            <w:pPr>
              <w:jc w:val="both"/>
              <w:rPr>
                <w:rFonts w:eastAsia="Microsoft JhengHei UI" w:cstheme="minorHAnsi"/>
                <w:color w:val="201F1E"/>
                <w:sz w:val="20"/>
                <w:szCs w:val="20"/>
                <w:shd w:val="clear" w:color="auto" w:fill="FFC000"/>
              </w:rPr>
            </w:pPr>
            <w:r w:rsidRPr="003774C6">
              <w:rPr>
                <w:rFonts w:eastAsia="DengXian" w:cstheme="minorHAnsi" w:hint="eastAsia"/>
                <w:color w:val="201F1E"/>
                <w:sz w:val="20"/>
                <w:szCs w:val="20"/>
                <w:shd w:val="clear" w:color="auto" w:fill="FFC000"/>
                <w:lang w:eastAsia="zh-CN"/>
              </w:rPr>
              <w:t>报告</w:t>
            </w:r>
            <w:r w:rsidR="009262DF" w:rsidRPr="009262DF">
              <w:rPr>
                <w:rFonts w:eastAsia="DengXian" w:cstheme="minorHAnsi" w:hint="eastAsia"/>
                <w:sz w:val="20"/>
                <w:szCs w:val="20"/>
                <w:lang w:eastAsia="zh-CN"/>
              </w:rPr>
              <w:t>摘要</w:t>
            </w:r>
            <w:r w:rsidRPr="003774C6">
              <w:rPr>
                <w:rFonts w:eastAsia="DengXian" w:cstheme="minorHAnsi"/>
                <w:color w:val="201F1E"/>
                <w:sz w:val="20"/>
                <w:szCs w:val="20"/>
                <w:shd w:val="clear" w:color="auto" w:fill="FFC000"/>
                <w:lang w:eastAsia="zh-CN"/>
              </w:rPr>
              <w:t xml:space="preserve">Abstract: Technological innovations are affecting every aspect of our individual and social life. One of the most relevant features of the change of epoch we are experiencing is the transformation of the ‘old world’ from a static and territorial dimension to a de-materialized dimension where new objects exist only through electronic means and in constant change. This presentation analyses </w:t>
            </w:r>
            <w:proofErr w:type="spellStart"/>
            <w:r w:rsidRPr="003774C6">
              <w:rPr>
                <w:rFonts w:eastAsia="DengXian" w:cstheme="minorHAnsi"/>
                <w:color w:val="201F1E"/>
                <w:sz w:val="20"/>
                <w:szCs w:val="20"/>
                <w:shd w:val="clear" w:color="auto" w:fill="FFC000"/>
                <w:lang w:eastAsia="zh-CN"/>
              </w:rPr>
              <w:t>Bictoins</w:t>
            </w:r>
            <w:proofErr w:type="spellEnd"/>
            <w:r w:rsidRPr="003774C6">
              <w:rPr>
                <w:rFonts w:eastAsia="DengXian" w:cstheme="minorHAnsi"/>
                <w:color w:val="201F1E"/>
                <w:sz w:val="20"/>
                <w:szCs w:val="20"/>
                <w:shd w:val="clear" w:color="auto" w:fill="FFC000"/>
                <w:lang w:eastAsia="zh-CN"/>
              </w:rPr>
              <w:t xml:space="preserve"> and data as two phenomena giving evidence to this transformation. The presentation will consider (and question) recent legislative initiatives within the EU, being engaged in the attempt to </w:t>
            </w:r>
            <w:proofErr w:type="spellStart"/>
            <w:r w:rsidRPr="003774C6">
              <w:rPr>
                <w:rFonts w:eastAsia="DengXian" w:cstheme="minorHAnsi"/>
                <w:color w:val="201F1E"/>
                <w:sz w:val="20"/>
                <w:szCs w:val="20"/>
                <w:shd w:val="clear" w:color="auto" w:fill="FFC000"/>
                <w:lang w:eastAsia="zh-CN"/>
              </w:rPr>
              <w:t>to</w:t>
            </w:r>
            <w:proofErr w:type="spellEnd"/>
            <w:r w:rsidRPr="003774C6">
              <w:rPr>
                <w:rFonts w:eastAsia="DengXian" w:cstheme="minorHAnsi"/>
                <w:color w:val="201F1E"/>
                <w:sz w:val="20"/>
                <w:szCs w:val="20"/>
                <w:shd w:val="clear" w:color="auto" w:fill="FFC000"/>
                <w:lang w:eastAsia="zh-CN"/>
              </w:rPr>
              <w:t xml:space="preserve"> reallocate within the reassuring traditional categories new phenomena, whose ‘a-territorial’ character puts in question the simplified way of representing the real world adopted since now. Legal comparison is called to catch the challenge of assuming a ‘global’ perspective, passing across the national legal orders in order to understand them in their complexity. </w:t>
            </w:r>
          </w:p>
        </w:tc>
      </w:tr>
      <w:tr w:rsidR="00F841A3" w:rsidRPr="00B24F5D" w14:paraId="0C8F9D56" w14:textId="77777777" w:rsidTr="00B24F5D">
        <w:tc>
          <w:tcPr>
            <w:tcW w:w="3539" w:type="dxa"/>
            <w:shd w:val="clear" w:color="auto" w:fill="FFC000"/>
          </w:tcPr>
          <w:p w14:paraId="10E9ADD8" w14:textId="6E66F698" w:rsidR="00F841A3" w:rsidRPr="00B24F5D" w:rsidRDefault="003774C6" w:rsidP="00B24F5D">
            <w:pPr>
              <w:rPr>
                <w:rFonts w:cstheme="minorHAnsi"/>
              </w:rPr>
            </w:pPr>
            <w:r w:rsidRPr="00B24F5D">
              <w:rPr>
                <w:rFonts w:eastAsia="DengXian" w:cstheme="minorHAnsi"/>
                <w:sz w:val="20"/>
                <w:szCs w:val="20"/>
                <w:lang w:eastAsia="zh-CN"/>
              </w:rPr>
              <w:t>Andrea TRIPODI</w:t>
            </w:r>
          </w:p>
        </w:tc>
        <w:tc>
          <w:tcPr>
            <w:tcW w:w="10409" w:type="dxa"/>
            <w:shd w:val="clear" w:color="auto" w:fill="FFC000"/>
          </w:tcPr>
          <w:p w14:paraId="13980BAC" w14:textId="1045AFE0" w:rsidR="00B24F5D" w:rsidRPr="006B0537" w:rsidRDefault="003774C6" w:rsidP="00B24F5D">
            <w:pPr>
              <w:rPr>
                <w:rFonts w:eastAsia="DengXian" w:cstheme="minorHAnsi"/>
                <w:color w:val="201F1E"/>
                <w:sz w:val="20"/>
                <w:szCs w:val="20"/>
                <w:shd w:val="clear" w:color="auto" w:fill="FFC000"/>
                <w:lang w:eastAsia="zh-CN"/>
              </w:rPr>
            </w:pPr>
            <w:r w:rsidRPr="003774C6">
              <w:rPr>
                <w:rFonts w:eastAsia="DengXian" w:cstheme="minorHAnsi" w:hint="eastAsia"/>
                <w:sz w:val="20"/>
                <w:szCs w:val="20"/>
                <w:lang w:eastAsia="zh-CN"/>
              </w:rPr>
              <w:t>报告题目</w:t>
            </w:r>
            <w:r w:rsidRPr="003774C6">
              <w:rPr>
                <w:rFonts w:eastAsia="DengXian" w:cstheme="minorHAnsi"/>
                <w:sz w:val="20"/>
                <w:szCs w:val="20"/>
                <w:lang w:eastAsia="zh-CN"/>
              </w:rPr>
              <w:t>Title:</w:t>
            </w:r>
            <w:r w:rsidR="00B24F5D" w:rsidRPr="00B24F5D">
              <w:rPr>
                <w:rFonts w:cstheme="minorHAnsi"/>
                <w:sz w:val="20"/>
                <w:szCs w:val="20"/>
              </w:rPr>
              <w:t xml:space="preserve"> </w:t>
            </w:r>
            <w:r w:rsidR="006B0537" w:rsidRPr="006B0537">
              <w:rPr>
                <w:rFonts w:eastAsia="DengXian" w:cstheme="minorHAnsi" w:hint="eastAsia"/>
                <w:color w:val="201F1E"/>
                <w:sz w:val="20"/>
                <w:szCs w:val="20"/>
                <w:shd w:val="clear" w:color="auto" w:fill="FFC000"/>
                <w:lang w:eastAsia="zh-CN"/>
              </w:rPr>
              <w:t xml:space="preserve">The Fight against Cybercrime in Italy: Between </w:t>
            </w:r>
            <w:r w:rsidR="006B0537" w:rsidRPr="006B0537">
              <w:rPr>
                <w:rFonts w:eastAsia="DengXian" w:cstheme="minorHAnsi" w:hint="eastAsia"/>
                <w:color w:val="201F1E"/>
                <w:sz w:val="20"/>
                <w:szCs w:val="20"/>
                <w:shd w:val="clear" w:color="auto" w:fill="FFC000"/>
                <w:lang w:eastAsia="zh-CN"/>
              </w:rPr>
              <w:t>“</w:t>
            </w:r>
            <w:r w:rsidR="006B0537" w:rsidRPr="006B0537">
              <w:rPr>
                <w:rFonts w:eastAsia="DengXian" w:cstheme="minorHAnsi" w:hint="eastAsia"/>
                <w:color w:val="201F1E"/>
                <w:sz w:val="20"/>
                <w:szCs w:val="20"/>
                <w:shd w:val="clear" w:color="auto" w:fill="FFC000"/>
                <w:lang w:eastAsia="zh-CN"/>
              </w:rPr>
              <w:t>Reactive</w:t>
            </w:r>
            <w:r w:rsidR="006B0537" w:rsidRPr="006B0537">
              <w:rPr>
                <w:rFonts w:eastAsia="DengXian" w:cstheme="minorHAnsi" w:hint="eastAsia"/>
                <w:color w:val="201F1E"/>
                <w:sz w:val="20"/>
                <w:szCs w:val="20"/>
                <w:shd w:val="clear" w:color="auto" w:fill="FFC000"/>
                <w:lang w:eastAsia="zh-CN"/>
              </w:rPr>
              <w:t>”</w:t>
            </w:r>
            <w:r w:rsidR="006B0537" w:rsidRPr="006B0537">
              <w:rPr>
                <w:rFonts w:eastAsia="DengXian" w:cstheme="minorHAnsi" w:hint="eastAsia"/>
                <w:color w:val="201F1E"/>
                <w:sz w:val="20"/>
                <w:szCs w:val="20"/>
                <w:shd w:val="clear" w:color="auto" w:fill="FFC000"/>
                <w:lang w:eastAsia="zh-CN"/>
              </w:rPr>
              <w:t xml:space="preserve"> and </w:t>
            </w:r>
            <w:r w:rsidR="006B0537" w:rsidRPr="006B0537">
              <w:rPr>
                <w:rFonts w:eastAsia="DengXian" w:cstheme="minorHAnsi" w:hint="eastAsia"/>
                <w:color w:val="201F1E"/>
                <w:sz w:val="20"/>
                <w:szCs w:val="20"/>
                <w:shd w:val="clear" w:color="auto" w:fill="FFC000"/>
                <w:lang w:eastAsia="zh-CN"/>
              </w:rPr>
              <w:t>“</w:t>
            </w:r>
            <w:r w:rsidR="006B0537" w:rsidRPr="006B0537">
              <w:rPr>
                <w:rFonts w:eastAsia="DengXian" w:cstheme="minorHAnsi" w:hint="eastAsia"/>
                <w:color w:val="201F1E"/>
                <w:sz w:val="20"/>
                <w:szCs w:val="20"/>
                <w:shd w:val="clear" w:color="auto" w:fill="FFC000"/>
                <w:lang w:eastAsia="zh-CN"/>
              </w:rPr>
              <w:t>Proactive</w:t>
            </w:r>
            <w:r w:rsidR="006B0537" w:rsidRPr="006B0537">
              <w:rPr>
                <w:rFonts w:eastAsia="DengXian" w:cstheme="minorHAnsi" w:hint="eastAsia"/>
                <w:color w:val="201F1E"/>
                <w:sz w:val="20"/>
                <w:szCs w:val="20"/>
                <w:shd w:val="clear" w:color="auto" w:fill="FFC000"/>
                <w:lang w:eastAsia="zh-CN"/>
              </w:rPr>
              <w:t>”</w:t>
            </w:r>
            <w:r w:rsidR="006B0537" w:rsidRPr="006B0537">
              <w:rPr>
                <w:rFonts w:eastAsia="DengXian" w:cstheme="minorHAnsi" w:hint="eastAsia"/>
                <w:color w:val="201F1E"/>
                <w:sz w:val="20"/>
                <w:szCs w:val="20"/>
                <w:shd w:val="clear" w:color="auto" w:fill="FFC000"/>
                <w:lang w:eastAsia="zh-CN"/>
              </w:rPr>
              <w:t xml:space="preserve"> Approaches</w:t>
            </w:r>
          </w:p>
          <w:p w14:paraId="6FBEFA27" w14:textId="45E224EA" w:rsidR="00F841A3" w:rsidRPr="00B24F5D" w:rsidRDefault="003774C6" w:rsidP="006B0537">
            <w:pPr>
              <w:jc w:val="both"/>
              <w:rPr>
                <w:rFonts w:cstheme="minorHAnsi"/>
              </w:rPr>
            </w:pPr>
            <w:r w:rsidRPr="003774C6">
              <w:rPr>
                <w:rFonts w:eastAsia="DengXian" w:cstheme="minorHAnsi" w:hint="eastAsia"/>
                <w:sz w:val="20"/>
                <w:szCs w:val="20"/>
                <w:lang w:eastAsia="zh-CN"/>
              </w:rPr>
              <w:t>报告撮要</w:t>
            </w:r>
            <w:r w:rsidRPr="003774C6">
              <w:rPr>
                <w:rFonts w:eastAsia="DengXian" w:cstheme="minorHAnsi"/>
                <w:sz w:val="20"/>
                <w:szCs w:val="20"/>
                <w:lang w:eastAsia="zh-CN"/>
              </w:rPr>
              <w:t>Abstract</w:t>
            </w:r>
            <w:r w:rsidR="006B0537" w:rsidRPr="006B0537">
              <w:rPr>
                <w:rFonts w:eastAsia="DengXian" w:cstheme="minorHAnsi"/>
                <w:color w:val="201F1E"/>
                <w:sz w:val="20"/>
                <w:szCs w:val="20"/>
                <w:shd w:val="clear" w:color="auto" w:fill="FFC000"/>
                <w:lang w:eastAsia="zh-CN"/>
              </w:rPr>
              <w:t xml:space="preserve">: </w:t>
            </w:r>
            <w:r w:rsidR="006B0537" w:rsidRPr="006B0537">
              <w:rPr>
                <w:rFonts w:eastAsia="DengXian" w:cstheme="minorHAnsi" w:hint="eastAsia"/>
                <w:color w:val="201F1E"/>
                <w:sz w:val="20"/>
                <w:szCs w:val="20"/>
                <w:shd w:val="clear" w:color="auto" w:fill="FFC000"/>
                <w:lang w:eastAsia="zh-CN"/>
              </w:rPr>
              <w:t xml:space="preserve">From the analysis of the definitional outlines of cybercrime follows a description of the regulatory framework which, thanks to the impetus of European Union law, has progressively formed within the Italian legal system.  In this context, the focus is on a combination of </w:t>
            </w:r>
            <w:r w:rsidR="006B0537" w:rsidRPr="006B0537">
              <w:rPr>
                <w:rFonts w:eastAsia="DengXian" w:cstheme="minorHAnsi" w:hint="eastAsia"/>
                <w:color w:val="201F1E"/>
                <w:sz w:val="20"/>
                <w:szCs w:val="20"/>
                <w:shd w:val="clear" w:color="auto" w:fill="FFC000"/>
                <w:lang w:eastAsia="zh-CN"/>
              </w:rPr>
              <w:t>“</w:t>
            </w:r>
            <w:r w:rsidR="006B0537" w:rsidRPr="006B0537">
              <w:rPr>
                <w:rFonts w:eastAsia="DengXian" w:cstheme="minorHAnsi" w:hint="eastAsia"/>
                <w:color w:val="201F1E"/>
                <w:sz w:val="20"/>
                <w:szCs w:val="20"/>
                <w:shd w:val="clear" w:color="auto" w:fill="FFC000"/>
                <w:lang w:eastAsia="zh-CN"/>
              </w:rPr>
              <w:t>reactive</w:t>
            </w:r>
            <w:r w:rsidR="006B0537" w:rsidRPr="006B0537">
              <w:rPr>
                <w:rFonts w:eastAsia="DengXian" w:cstheme="minorHAnsi" w:hint="eastAsia"/>
                <w:color w:val="201F1E"/>
                <w:sz w:val="20"/>
                <w:szCs w:val="20"/>
                <w:shd w:val="clear" w:color="auto" w:fill="FFC000"/>
                <w:lang w:eastAsia="zh-CN"/>
              </w:rPr>
              <w:t>”</w:t>
            </w:r>
            <w:r w:rsidR="006B0537" w:rsidRPr="006B0537">
              <w:rPr>
                <w:rFonts w:eastAsia="DengXian" w:cstheme="minorHAnsi" w:hint="eastAsia"/>
                <w:color w:val="201F1E"/>
                <w:sz w:val="20"/>
                <w:szCs w:val="20"/>
                <w:shd w:val="clear" w:color="auto" w:fill="FFC000"/>
                <w:lang w:eastAsia="zh-CN"/>
              </w:rPr>
              <w:t xml:space="preserve"> </w:t>
            </w:r>
            <w:proofErr w:type="spellStart"/>
            <w:r w:rsidR="006B0537" w:rsidRPr="006B0537">
              <w:rPr>
                <w:rFonts w:eastAsia="DengXian" w:cstheme="minorHAnsi" w:hint="eastAsia"/>
                <w:color w:val="201F1E"/>
                <w:sz w:val="20"/>
                <w:szCs w:val="20"/>
                <w:shd w:val="clear" w:color="auto" w:fill="FFC000"/>
                <w:lang w:eastAsia="zh-CN"/>
              </w:rPr>
              <w:t>sanctionary</w:t>
            </w:r>
            <w:proofErr w:type="spellEnd"/>
            <w:r w:rsidR="006B0537" w:rsidRPr="006B0537">
              <w:rPr>
                <w:rFonts w:eastAsia="DengXian" w:cstheme="minorHAnsi" w:hint="eastAsia"/>
                <w:color w:val="201F1E"/>
                <w:sz w:val="20"/>
                <w:szCs w:val="20"/>
                <w:shd w:val="clear" w:color="auto" w:fill="FFC000"/>
                <w:lang w:eastAsia="zh-CN"/>
              </w:rPr>
              <w:t xml:space="preserve"> choices and </w:t>
            </w:r>
            <w:r w:rsidR="006B0537" w:rsidRPr="006B0537">
              <w:rPr>
                <w:rFonts w:eastAsia="DengXian" w:cstheme="minorHAnsi" w:hint="eastAsia"/>
                <w:color w:val="201F1E"/>
                <w:sz w:val="20"/>
                <w:szCs w:val="20"/>
                <w:shd w:val="clear" w:color="auto" w:fill="FFC000"/>
                <w:lang w:eastAsia="zh-CN"/>
              </w:rPr>
              <w:t>“</w:t>
            </w:r>
            <w:r w:rsidR="006B0537" w:rsidRPr="006B0537">
              <w:rPr>
                <w:rFonts w:eastAsia="DengXian" w:cstheme="minorHAnsi" w:hint="eastAsia"/>
                <w:color w:val="201F1E"/>
                <w:sz w:val="20"/>
                <w:szCs w:val="20"/>
                <w:shd w:val="clear" w:color="auto" w:fill="FFC000"/>
                <w:lang w:eastAsia="zh-CN"/>
              </w:rPr>
              <w:t>proactive</w:t>
            </w:r>
            <w:r w:rsidR="006B0537" w:rsidRPr="006B0537">
              <w:rPr>
                <w:rFonts w:eastAsia="DengXian" w:cstheme="minorHAnsi" w:hint="eastAsia"/>
                <w:color w:val="201F1E"/>
                <w:sz w:val="20"/>
                <w:szCs w:val="20"/>
                <w:shd w:val="clear" w:color="auto" w:fill="FFC000"/>
                <w:lang w:eastAsia="zh-CN"/>
              </w:rPr>
              <w:t>”</w:t>
            </w:r>
            <w:r w:rsidR="006B0537" w:rsidRPr="006B0537">
              <w:rPr>
                <w:rFonts w:eastAsia="DengXian" w:cstheme="minorHAnsi" w:hint="eastAsia"/>
                <w:color w:val="201F1E"/>
                <w:sz w:val="20"/>
                <w:szCs w:val="20"/>
                <w:shd w:val="clear" w:color="auto" w:fill="FFC000"/>
                <w:lang w:eastAsia="zh-CN"/>
              </w:rPr>
              <w:t xml:space="preserve"> types of regulation.</w:t>
            </w:r>
          </w:p>
        </w:tc>
      </w:tr>
      <w:tr w:rsidR="00F841A3" w:rsidRPr="00B24F5D" w14:paraId="62CAAE10" w14:textId="77777777" w:rsidTr="00B24F5D">
        <w:tc>
          <w:tcPr>
            <w:tcW w:w="3539" w:type="dxa"/>
            <w:shd w:val="clear" w:color="auto" w:fill="00B050"/>
          </w:tcPr>
          <w:p w14:paraId="2140EB2C" w14:textId="42095480" w:rsidR="00B24F5D" w:rsidRPr="00B24F5D" w:rsidRDefault="003774C6" w:rsidP="00B24F5D">
            <w:pPr>
              <w:rPr>
                <w:rFonts w:eastAsia="Microsoft JhengHei" w:cstheme="minorHAnsi"/>
                <w:sz w:val="20"/>
                <w:szCs w:val="20"/>
                <w:lang w:eastAsia="zh-CN"/>
              </w:rPr>
            </w:pPr>
            <w:r w:rsidRPr="00B24F5D">
              <w:rPr>
                <w:rFonts w:eastAsia="DengXian" w:cstheme="minorHAnsi" w:hint="eastAsia"/>
                <w:sz w:val="20"/>
                <w:szCs w:val="20"/>
                <w:lang w:eastAsia="zh-CN"/>
              </w:rPr>
              <w:t>赵文宗</w:t>
            </w:r>
          </w:p>
          <w:p w14:paraId="7C93A6C2" w14:textId="1F3557ED" w:rsidR="00F841A3" w:rsidRPr="00B24F5D" w:rsidRDefault="003774C6" w:rsidP="00B24F5D">
            <w:pPr>
              <w:rPr>
                <w:rFonts w:cstheme="minorHAnsi"/>
              </w:rPr>
            </w:pPr>
            <w:r w:rsidRPr="00B24F5D">
              <w:rPr>
                <w:rFonts w:eastAsia="DengXian" w:cstheme="minorHAnsi"/>
                <w:sz w:val="20"/>
                <w:szCs w:val="20"/>
                <w:lang w:eastAsia="zh-CN"/>
              </w:rPr>
              <w:lastRenderedPageBreak/>
              <w:t>MC Andy CHIU</w:t>
            </w:r>
          </w:p>
        </w:tc>
        <w:tc>
          <w:tcPr>
            <w:tcW w:w="10409" w:type="dxa"/>
            <w:shd w:val="clear" w:color="auto" w:fill="00B050"/>
          </w:tcPr>
          <w:p w14:paraId="6A0FBA20" w14:textId="1C5B67F7" w:rsidR="00B24F5D" w:rsidRPr="00001FBF" w:rsidRDefault="003774C6" w:rsidP="00001FBF">
            <w:pPr>
              <w:shd w:val="clear" w:color="auto" w:fill="00B050"/>
              <w:jc w:val="both"/>
              <w:rPr>
                <w:rFonts w:cstheme="minorHAnsi"/>
                <w:sz w:val="20"/>
                <w:szCs w:val="20"/>
              </w:rPr>
            </w:pPr>
            <w:r w:rsidRPr="003774C6">
              <w:rPr>
                <w:rFonts w:eastAsia="DengXian" w:cstheme="minorHAnsi" w:hint="eastAsia"/>
                <w:sz w:val="20"/>
                <w:szCs w:val="20"/>
                <w:lang w:eastAsia="zh-CN"/>
              </w:rPr>
              <w:lastRenderedPageBreak/>
              <w:t>报告题目</w:t>
            </w:r>
            <w:r w:rsidRPr="003774C6">
              <w:rPr>
                <w:rFonts w:eastAsia="DengXian" w:cstheme="minorHAnsi"/>
                <w:sz w:val="20"/>
                <w:szCs w:val="20"/>
                <w:lang w:eastAsia="zh-CN"/>
              </w:rPr>
              <w:t>Title: Un/Desiring Freedom to Data</w:t>
            </w:r>
          </w:p>
          <w:p w14:paraId="47715B5C" w14:textId="0BEFFB4F" w:rsidR="00F841A3" w:rsidRPr="00B24F5D" w:rsidRDefault="003774C6" w:rsidP="00001FBF">
            <w:pPr>
              <w:shd w:val="clear" w:color="auto" w:fill="00B050"/>
              <w:jc w:val="both"/>
              <w:rPr>
                <w:rFonts w:cstheme="minorHAnsi"/>
              </w:rPr>
            </w:pPr>
            <w:r w:rsidRPr="003774C6">
              <w:rPr>
                <w:rFonts w:eastAsia="DengXian" w:cstheme="minorHAnsi" w:hint="eastAsia"/>
                <w:sz w:val="20"/>
                <w:szCs w:val="20"/>
                <w:lang w:eastAsia="zh-CN"/>
              </w:rPr>
              <w:lastRenderedPageBreak/>
              <w:t>报告</w:t>
            </w:r>
            <w:r w:rsidR="009262DF" w:rsidRPr="009262DF">
              <w:rPr>
                <w:rFonts w:eastAsia="DengXian" w:cstheme="minorHAnsi" w:hint="eastAsia"/>
                <w:sz w:val="20"/>
                <w:szCs w:val="20"/>
                <w:lang w:eastAsia="zh-CN"/>
              </w:rPr>
              <w:t>摘要</w:t>
            </w:r>
            <w:r w:rsidRPr="003774C6">
              <w:rPr>
                <w:rFonts w:eastAsia="DengXian" w:cstheme="minorHAnsi"/>
                <w:sz w:val="20"/>
                <w:szCs w:val="20"/>
                <w:lang w:eastAsia="zh-CN"/>
              </w:rPr>
              <w:t>Abstract: A Consultation Paper on Freedom of Information, proposed by the Hong Kong Law Reform Commission, was released in 2018. Although the project aims at producing a Right to Information and further entrenching Freedom of Speech, looking to enhance the accountability and transparency of public authorities, and to encourage public participation in social governance and self-determination in Hong Kong, such a proposal could only further submit individuals to public control by human digitalization. Only by refusing to informatize subjectivities, can people return to themselves and substantiate justice, as advocated by the Law Reform Commission.</w:t>
            </w:r>
          </w:p>
        </w:tc>
      </w:tr>
      <w:tr w:rsidR="00F841A3" w:rsidRPr="00B24F5D" w14:paraId="77EE838D" w14:textId="77777777" w:rsidTr="00B24F5D">
        <w:tc>
          <w:tcPr>
            <w:tcW w:w="3539" w:type="dxa"/>
            <w:shd w:val="clear" w:color="auto" w:fill="00B050"/>
          </w:tcPr>
          <w:p w14:paraId="14848D42" w14:textId="6A8F40CE" w:rsidR="00F841A3" w:rsidRPr="00B24F5D" w:rsidRDefault="003774C6" w:rsidP="00B24F5D">
            <w:pPr>
              <w:rPr>
                <w:rFonts w:cstheme="minorHAnsi"/>
              </w:rPr>
            </w:pPr>
            <w:r w:rsidRPr="00B24F5D">
              <w:rPr>
                <w:rFonts w:eastAsia="DengXian" w:cstheme="minorHAnsi"/>
                <w:sz w:val="20"/>
                <w:szCs w:val="20"/>
                <w:lang w:eastAsia="zh-CN"/>
              </w:rPr>
              <w:lastRenderedPageBreak/>
              <w:t>Ben WORTHY</w:t>
            </w:r>
          </w:p>
        </w:tc>
        <w:tc>
          <w:tcPr>
            <w:tcW w:w="10409" w:type="dxa"/>
            <w:shd w:val="clear" w:color="auto" w:fill="00B050"/>
          </w:tcPr>
          <w:p w14:paraId="32CF123B" w14:textId="63E04684" w:rsidR="00B24F5D" w:rsidRPr="00B24F5D" w:rsidRDefault="003774C6" w:rsidP="00001FBF">
            <w:pPr>
              <w:jc w:val="both"/>
              <w:rPr>
                <w:rFonts w:cstheme="minorHAnsi"/>
                <w:sz w:val="20"/>
                <w:szCs w:val="20"/>
              </w:rPr>
            </w:pPr>
            <w:r w:rsidRPr="003774C6">
              <w:rPr>
                <w:rFonts w:eastAsia="DengXian" w:cstheme="minorHAnsi" w:hint="eastAsia"/>
                <w:sz w:val="20"/>
                <w:szCs w:val="20"/>
                <w:lang w:eastAsia="zh-CN"/>
              </w:rPr>
              <w:t>报告题目</w:t>
            </w:r>
            <w:r w:rsidRPr="003774C6">
              <w:rPr>
                <w:rFonts w:eastAsia="DengXian" w:cstheme="minorHAnsi"/>
                <w:sz w:val="20"/>
                <w:szCs w:val="20"/>
                <w:lang w:eastAsia="zh-CN"/>
              </w:rPr>
              <w:t>Title: The Politics of Access to Information</w:t>
            </w:r>
          </w:p>
          <w:p w14:paraId="278C60D0" w14:textId="435F2586" w:rsidR="00001FBF" w:rsidRPr="00001FBF" w:rsidRDefault="003774C6" w:rsidP="00001FBF">
            <w:pPr>
              <w:widowControl/>
              <w:shd w:val="clear" w:color="auto" w:fill="00B050"/>
              <w:jc w:val="both"/>
              <w:textAlignment w:val="baseline"/>
              <w:rPr>
                <w:rFonts w:cstheme="minorHAnsi"/>
                <w:sz w:val="20"/>
                <w:szCs w:val="20"/>
              </w:rPr>
            </w:pPr>
            <w:r w:rsidRPr="003774C6">
              <w:rPr>
                <w:rFonts w:eastAsia="DengXian" w:cstheme="minorHAnsi" w:hint="eastAsia"/>
                <w:sz w:val="20"/>
                <w:szCs w:val="20"/>
                <w:lang w:eastAsia="zh-CN"/>
              </w:rPr>
              <w:t>报告</w:t>
            </w:r>
            <w:r w:rsidR="009262DF" w:rsidRPr="009262DF">
              <w:rPr>
                <w:rFonts w:eastAsia="DengXian" w:cstheme="minorHAnsi" w:hint="eastAsia"/>
                <w:sz w:val="20"/>
                <w:szCs w:val="20"/>
                <w:lang w:eastAsia="zh-CN"/>
              </w:rPr>
              <w:t>摘要</w:t>
            </w:r>
            <w:r w:rsidRPr="003774C6">
              <w:rPr>
                <w:rFonts w:eastAsia="DengXian" w:cstheme="minorHAnsi"/>
                <w:sz w:val="20"/>
                <w:szCs w:val="20"/>
                <w:lang w:eastAsia="zh-CN"/>
              </w:rPr>
              <w:t>Abstract: Access to Information (ATI) laws don’t just open up government. ATI laws have two tasks: the manifest aim of “creating openness” and the latent aim of “maintaining secrecy” From this perspective, the creation of legal transparency regimes is a story of the ordering and management of “who can see what when, whom where” and “managing possibilities for seeing, knowing and governing” (</w:t>
            </w:r>
            <w:proofErr w:type="spellStart"/>
            <w:r w:rsidRPr="003774C6">
              <w:rPr>
                <w:rFonts w:eastAsia="DengXian" w:cstheme="minorHAnsi"/>
                <w:sz w:val="20"/>
                <w:szCs w:val="20"/>
                <w:lang w:eastAsia="zh-CN"/>
              </w:rPr>
              <w:t>Flyverbom</w:t>
            </w:r>
            <w:proofErr w:type="spellEnd"/>
            <w:r w:rsidRPr="003774C6">
              <w:rPr>
                <w:rFonts w:eastAsia="DengXian" w:cstheme="minorHAnsi"/>
                <w:sz w:val="20"/>
                <w:szCs w:val="20"/>
                <w:lang w:eastAsia="zh-CN"/>
              </w:rPr>
              <w:t xml:space="preserve"> 2015, p. 173). </w:t>
            </w:r>
          </w:p>
          <w:p w14:paraId="3C2BD09A" w14:textId="0E80CE25" w:rsidR="00F841A3" w:rsidRPr="00001FBF" w:rsidRDefault="003774C6" w:rsidP="006B0537">
            <w:pPr>
              <w:widowControl/>
              <w:shd w:val="clear" w:color="auto" w:fill="00B050"/>
              <w:jc w:val="both"/>
              <w:textAlignment w:val="baseline"/>
              <w:rPr>
                <w:rFonts w:cstheme="minorHAnsi"/>
                <w:sz w:val="20"/>
                <w:szCs w:val="20"/>
              </w:rPr>
            </w:pPr>
            <w:r w:rsidRPr="003774C6">
              <w:rPr>
                <w:rFonts w:eastAsia="DengXian" w:cstheme="minorHAnsi"/>
                <w:sz w:val="20"/>
                <w:szCs w:val="20"/>
                <w:lang w:eastAsia="zh-CN"/>
              </w:rPr>
              <w:t xml:space="preserve">It is also a story about power, as it is primarily governments who create and implement laws, who delineate the legal “limits” and who frame the narratives over where transparency begins and ends. Marilyn </w:t>
            </w:r>
            <w:proofErr w:type="spellStart"/>
            <w:r w:rsidRPr="003774C6">
              <w:rPr>
                <w:rFonts w:eastAsia="DengXian" w:cstheme="minorHAnsi"/>
                <w:sz w:val="20"/>
                <w:szCs w:val="20"/>
                <w:lang w:eastAsia="zh-CN"/>
              </w:rPr>
              <w:t>Strathern</w:t>
            </w:r>
            <w:proofErr w:type="spellEnd"/>
            <w:r w:rsidRPr="003774C6">
              <w:rPr>
                <w:rFonts w:eastAsia="DengXian" w:cstheme="minorHAnsi"/>
                <w:sz w:val="20"/>
                <w:szCs w:val="20"/>
                <w:lang w:eastAsia="zh-CN"/>
              </w:rPr>
              <w:t xml:space="preserve"> pointed out how making something transparent may be a political act with different motivations, and “there is nothing innocent about making the invisible visible</w:t>
            </w:r>
            <w:proofErr w:type="gramStart"/>
            <w:r w:rsidRPr="003774C6">
              <w:rPr>
                <w:rFonts w:eastAsia="DengXian" w:cstheme="minorHAnsi"/>
                <w:sz w:val="20"/>
                <w:szCs w:val="20"/>
                <w:lang w:eastAsia="zh-CN"/>
              </w:rPr>
              <w:t>” .</w:t>
            </w:r>
            <w:proofErr w:type="gramEnd"/>
            <w:r w:rsidRPr="003774C6">
              <w:rPr>
                <w:rFonts w:eastAsia="DengXian" w:cstheme="minorHAnsi"/>
                <w:sz w:val="20"/>
                <w:szCs w:val="20"/>
                <w:lang w:eastAsia="zh-CN"/>
              </w:rPr>
              <w:t xml:space="preserve"> Taking the example of the UK, this presentation examines the common features and trends in ATI laws in opening up government, and analyses how the type of political systems, legacies of open or secret cultures, and the strength of political support or opposition make them different. The presentation ends by looking at how contestation and conflict continue to shape ATI laws once they are in place.</w:t>
            </w:r>
          </w:p>
        </w:tc>
      </w:tr>
      <w:tr w:rsidR="00F841A3" w:rsidRPr="00B24F5D" w14:paraId="16BCB803" w14:textId="77777777" w:rsidTr="00B24F5D">
        <w:tc>
          <w:tcPr>
            <w:tcW w:w="3539" w:type="dxa"/>
            <w:shd w:val="clear" w:color="auto" w:fill="00B050"/>
          </w:tcPr>
          <w:p w14:paraId="22562929" w14:textId="30A284B9" w:rsidR="00B24F5D" w:rsidRPr="00B24F5D" w:rsidRDefault="003774C6" w:rsidP="00B24F5D">
            <w:pPr>
              <w:rPr>
                <w:rFonts w:eastAsia="DengXian" w:cstheme="minorHAnsi"/>
                <w:sz w:val="20"/>
                <w:szCs w:val="20"/>
                <w:lang w:eastAsia="zh-CN"/>
              </w:rPr>
            </w:pPr>
            <w:r w:rsidRPr="00B24F5D">
              <w:rPr>
                <w:rFonts w:eastAsia="DengXian" w:cstheme="minorHAnsi" w:hint="eastAsia"/>
                <w:sz w:val="20"/>
                <w:szCs w:val="20"/>
                <w:lang w:eastAsia="zh-CN"/>
              </w:rPr>
              <w:t>许伟强</w:t>
            </w:r>
          </w:p>
          <w:p w14:paraId="1439AFBC" w14:textId="2D0883A6" w:rsidR="00F841A3" w:rsidRPr="00B24F5D" w:rsidRDefault="003774C6" w:rsidP="00B24F5D">
            <w:pPr>
              <w:rPr>
                <w:rFonts w:cstheme="minorHAnsi"/>
              </w:rPr>
            </w:pPr>
            <w:r w:rsidRPr="00B24F5D">
              <w:rPr>
                <w:rFonts w:eastAsia="DengXian" w:cstheme="minorHAnsi"/>
                <w:sz w:val="20"/>
                <w:szCs w:val="20"/>
                <w:lang w:eastAsia="zh-CN"/>
              </w:rPr>
              <w:t>Richard KHAW</w:t>
            </w:r>
          </w:p>
        </w:tc>
        <w:tc>
          <w:tcPr>
            <w:tcW w:w="10409" w:type="dxa"/>
            <w:shd w:val="clear" w:color="auto" w:fill="00B050"/>
          </w:tcPr>
          <w:p w14:paraId="04178E5A" w14:textId="1D7C43C9" w:rsidR="00F841A3" w:rsidRPr="00D356D3" w:rsidRDefault="003774C6" w:rsidP="00B24F5D">
            <w:pPr>
              <w:rPr>
                <w:rFonts w:cstheme="minorHAnsi"/>
                <w:sz w:val="20"/>
                <w:szCs w:val="20"/>
              </w:rPr>
            </w:pPr>
            <w:r w:rsidRPr="003774C6">
              <w:rPr>
                <w:rFonts w:eastAsia="DengXian" w:cstheme="minorHAnsi" w:hint="eastAsia"/>
                <w:sz w:val="20"/>
                <w:szCs w:val="20"/>
                <w:lang w:eastAsia="zh-CN"/>
              </w:rPr>
              <w:t>报告题目</w:t>
            </w:r>
            <w:r w:rsidRPr="003774C6">
              <w:rPr>
                <w:rFonts w:eastAsia="DengXian" w:cstheme="minorHAnsi"/>
                <w:sz w:val="20"/>
                <w:szCs w:val="20"/>
                <w:lang w:eastAsia="zh-CN"/>
              </w:rPr>
              <w:t>Title:</w:t>
            </w:r>
            <w:r w:rsidR="00B24F5D" w:rsidRPr="00B24F5D">
              <w:rPr>
                <w:rFonts w:cstheme="minorHAnsi"/>
                <w:sz w:val="20"/>
                <w:szCs w:val="20"/>
              </w:rPr>
              <w:t xml:space="preserve"> </w:t>
            </w:r>
            <w:r w:rsidR="00175D6C">
              <w:rPr>
                <w:rFonts w:cstheme="minorHAnsi" w:hint="eastAsia"/>
                <w:sz w:val="20"/>
                <w:szCs w:val="20"/>
              </w:rPr>
              <w:t>A</w:t>
            </w:r>
            <w:r w:rsidR="00175D6C">
              <w:rPr>
                <w:rFonts w:cstheme="minorHAnsi"/>
                <w:sz w:val="20"/>
                <w:szCs w:val="20"/>
              </w:rPr>
              <w:t>rchives Management Systems in Hong Kong</w:t>
            </w:r>
            <w:r w:rsidR="0037647C">
              <w:rPr>
                <w:rFonts w:cstheme="minorHAnsi"/>
                <w:sz w:val="20"/>
                <w:szCs w:val="20"/>
              </w:rPr>
              <w:t xml:space="preserve"> </w:t>
            </w:r>
            <w:r w:rsidR="0037647C">
              <w:rPr>
                <w:rFonts w:cstheme="minorHAnsi" w:hint="eastAsia"/>
                <w:sz w:val="20"/>
                <w:szCs w:val="20"/>
                <w:lang w:eastAsia="zh-CN"/>
              </w:rPr>
              <w:t>and</w:t>
            </w:r>
            <w:r w:rsidR="00175D6C">
              <w:rPr>
                <w:rFonts w:cstheme="minorHAnsi"/>
                <w:sz w:val="20"/>
                <w:szCs w:val="20"/>
              </w:rPr>
              <w:t xml:space="preserve"> Other Jurisdictions – An Overview</w:t>
            </w:r>
          </w:p>
        </w:tc>
      </w:tr>
    </w:tbl>
    <w:p w14:paraId="35736900" w14:textId="3B4E7D6A" w:rsidR="00F841A3" w:rsidRPr="00B24F5D" w:rsidRDefault="00F841A3">
      <w:pPr>
        <w:rPr>
          <w:rFonts w:cstheme="minorHAnsi"/>
        </w:rPr>
      </w:pPr>
    </w:p>
    <w:sectPr w:rsidR="00F841A3" w:rsidRPr="00B24F5D" w:rsidSect="00F841A3">
      <w:footerReference w:type="default" r:id="rId6"/>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2AFC6" w14:textId="77777777" w:rsidR="00C54628" w:rsidRDefault="00C54628" w:rsidP="003774C6">
      <w:r>
        <w:separator/>
      </w:r>
    </w:p>
  </w:endnote>
  <w:endnote w:type="continuationSeparator" w:id="0">
    <w:p w14:paraId="27A7C3CA" w14:textId="77777777" w:rsidR="00C54628" w:rsidRDefault="00C54628" w:rsidP="00377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1584170"/>
      <w:docPartObj>
        <w:docPartGallery w:val="Page Numbers (Bottom of Page)"/>
        <w:docPartUnique/>
      </w:docPartObj>
    </w:sdtPr>
    <w:sdtEndPr/>
    <w:sdtContent>
      <w:p w14:paraId="15C5EE9B" w14:textId="1A9D4400" w:rsidR="003774C6" w:rsidRDefault="003774C6">
        <w:pPr>
          <w:pStyle w:val="aa"/>
          <w:jc w:val="center"/>
        </w:pPr>
        <w:r>
          <w:fldChar w:fldCharType="begin"/>
        </w:r>
        <w:r>
          <w:instrText>PAGE   \* MERGEFORMAT</w:instrText>
        </w:r>
        <w:r>
          <w:fldChar w:fldCharType="separate"/>
        </w:r>
        <w:r>
          <w:rPr>
            <w:lang w:val="zh-TW"/>
          </w:rPr>
          <w:t>2</w:t>
        </w:r>
        <w:r>
          <w:fldChar w:fldCharType="end"/>
        </w:r>
      </w:p>
    </w:sdtContent>
  </w:sdt>
  <w:p w14:paraId="3CD37D2E" w14:textId="77777777" w:rsidR="003774C6" w:rsidRDefault="003774C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5916D" w14:textId="77777777" w:rsidR="00C54628" w:rsidRDefault="00C54628" w:rsidP="003774C6">
      <w:r>
        <w:separator/>
      </w:r>
    </w:p>
  </w:footnote>
  <w:footnote w:type="continuationSeparator" w:id="0">
    <w:p w14:paraId="1AC45591" w14:textId="77777777" w:rsidR="00C54628" w:rsidRDefault="00C54628" w:rsidP="003774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9"/>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1A3"/>
    <w:rsid w:val="00001FBF"/>
    <w:rsid w:val="000641AA"/>
    <w:rsid w:val="000F37B7"/>
    <w:rsid w:val="00175D6C"/>
    <w:rsid w:val="00342D28"/>
    <w:rsid w:val="00362064"/>
    <w:rsid w:val="0037647C"/>
    <w:rsid w:val="003774C6"/>
    <w:rsid w:val="003F42EA"/>
    <w:rsid w:val="00522DEF"/>
    <w:rsid w:val="006171FD"/>
    <w:rsid w:val="006B0537"/>
    <w:rsid w:val="006D7A6D"/>
    <w:rsid w:val="00747BCD"/>
    <w:rsid w:val="00763615"/>
    <w:rsid w:val="007848CB"/>
    <w:rsid w:val="009262DF"/>
    <w:rsid w:val="00B24F5D"/>
    <w:rsid w:val="00C54628"/>
    <w:rsid w:val="00D356D3"/>
    <w:rsid w:val="00DE0E8E"/>
    <w:rsid w:val="00F31D52"/>
    <w:rsid w:val="00F841A3"/>
    <w:rsid w:val="00F86B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57A78"/>
  <w15:chartTrackingRefBased/>
  <w15:docId w15:val="{4472CC28-6FFB-44C3-8EBA-D4121AD2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F5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4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B24F5D"/>
    <w:pPr>
      <w:widowControl/>
      <w:spacing w:before="100" w:beforeAutospacing="1" w:after="100" w:afterAutospacing="1"/>
    </w:pPr>
    <w:rPr>
      <w:rFonts w:ascii="Times New Roman" w:eastAsia="Times New Roman" w:hAnsi="Times New Roman" w:cs="Times New Roman"/>
      <w:kern w:val="0"/>
      <w:szCs w:val="24"/>
    </w:rPr>
  </w:style>
  <w:style w:type="character" w:styleId="a5">
    <w:name w:val="annotation reference"/>
    <w:basedOn w:val="a0"/>
    <w:uiPriority w:val="99"/>
    <w:semiHidden/>
    <w:unhideWhenUsed/>
    <w:rsid w:val="00001FBF"/>
    <w:rPr>
      <w:sz w:val="16"/>
      <w:szCs w:val="16"/>
    </w:rPr>
  </w:style>
  <w:style w:type="paragraph" w:styleId="a6">
    <w:name w:val="annotation text"/>
    <w:basedOn w:val="a"/>
    <w:link w:val="a7"/>
    <w:uiPriority w:val="99"/>
    <w:unhideWhenUsed/>
    <w:rsid w:val="00001FBF"/>
    <w:rPr>
      <w:sz w:val="20"/>
      <w:szCs w:val="20"/>
      <w:lang w:eastAsia="zh-HK"/>
    </w:rPr>
  </w:style>
  <w:style w:type="character" w:customStyle="1" w:styleId="a7">
    <w:name w:val="批注文字 字符"/>
    <w:basedOn w:val="a0"/>
    <w:link w:val="a6"/>
    <w:uiPriority w:val="99"/>
    <w:rsid w:val="00001FBF"/>
    <w:rPr>
      <w:sz w:val="20"/>
      <w:szCs w:val="20"/>
      <w:lang w:eastAsia="zh-HK"/>
    </w:rPr>
  </w:style>
  <w:style w:type="paragraph" w:styleId="a8">
    <w:name w:val="header"/>
    <w:basedOn w:val="a"/>
    <w:link w:val="a9"/>
    <w:uiPriority w:val="99"/>
    <w:unhideWhenUsed/>
    <w:rsid w:val="003774C6"/>
    <w:pPr>
      <w:tabs>
        <w:tab w:val="center" w:pos="4153"/>
        <w:tab w:val="right" w:pos="8306"/>
      </w:tabs>
      <w:snapToGrid w:val="0"/>
    </w:pPr>
    <w:rPr>
      <w:sz w:val="20"/>
      <w:szCs w:val="20"/>
    </w:rPr>
  </w:style>
  <w:style w:type="character" w:customStyle="1" w:styleId="a9">
    <w:name w:val="页眉 字符"/>
    <w:basedOn w:val="a0"/>
    <w:link w:val="a8"/>
    <w:uiPriority w:val="99"/>
    <w:rsid w:val="003774C6"/>
    <w:rPr>
      <w:sz w:val="20"/>
      <w:szCs w:val="20"/>
    </w:rPr>
  </w:style>
  <w:style w:type="paragraph" w:styleId="aa">
    <w:name w:val="footer"/>
    <w:basedOn w:val="a"/>
    <w:link w:val="ab"/>
    <w:uiPriority w:val="99"/>
    <w:unhideWhenUsed/>
    <w:rsid w:val="003774C6"/>
    <w:pPr>
      <w:tabs>
        <w:tab w:val="center" w:pos="4153"/>
        <w:tab w:val="right" w:pos="8306"/>
      </w:tabs>
      <w:snapToGrid w:val="0"/>
    </w:pPr>
    <w:rPr>
      <w:sz w:val="20"/>
      <w:szCs w:val="20"/>
    </w:rPr>
  </w:style>
  <w:style w:type="character" w:customStyle="1" w:styleId="ab">
    <w:name w:val="页脚 字符"/>
    <w:basedOn w:val="a0"/>
    <w:link w:val="aa"/>
    <w:uiPriority w:val="99"/>
    <w:rsid w:val="003774C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848019">
      <w:bodyDiv w:val="1"/>
      <w:marLeft w:val="0"/>
      <w:marRight w:val="0"/>
      <w:marTop w:val="0"/>
      <w:marBottom w:val="0"/>
      <w:divBdr>
        <w:top w:val="none" w:sz="0" w:space="0" w:color="auto"/>
        <w:left w:val="none" w:sz="0" w:space="0" w:color="auto"/>
        <w:bottom w:val="none" w:sz="0" w:space="0" w:color="auto"/>
        <w:right w:val="none" w:sz="0" w:space="0" w:color="auto"/>
      </w:divBdr>
      <w:divsChild>
        <w:div w:id="719011001">
          <w:marLeft w:val="0"/>
          <w:marRight w:val="0"/>
          <w:marTop w:val="0"/>
          <w:marBottom w:val="0"/>
          <w:divBdr>
            <w:top w:val="none" w:sz="0" w:space="0" w:color="auto"/>
            <w:left w:val="none" w:sz="0" w:space="0" w:color="auto"/>
            <w:bottom w:val="none" w:sz="0" w:space="0" w:color="auto"/>
            <w:right w:val="none" w:sz="0" w:space="0" w:color="auto"/>
          </w:divBdr>
        </w:div>
      </w:divsChild>
    </w:div>
    <w:div w:id="813257715">
      <w:bodyDiv w:val="1"/>
      <w:marLeft w:val="0"/>
      <w:marRight w:val="0"/>
      <w:marTop w:val="0"/>
      <w:marBottom w:val="0"/>
      <w:divBdr>
        <w:top w:val="none" w:sz="0" w:space="0" w:color="auto"/>
        <w:left w:val="none" w:sz="0" w:space="0" w:color="auto"/>
        <w:bottom w:val="none" w:sz="0" w:space="0" w:color="auto"/>
        <w:right w:val="none" w:sz="0" w:space="0" w:color="auto"/>
      </w:divBdr>
      <w:divsChild>
        <w:div w:id="1725985138">
          <w:marLeft w:val="0"/>
          <w:marRight w:val="0"/>
          <w:marTop w:val="0"/>
          <w:marBottom w:val="0"/>
          <w:divBdr>
            <w:top w:val="none" w:sz="0" w:space="0" w:color="auto"/>
            <w:left w:val="none" w:sz="0" w:space="0" w:color="auto"/>
            <w:bottom w:val="none" w:sz="0" w:space="0" w:color="auto"/>
            <w:right w:val="none" w:sz="0" w:space="0" w:color="auto"/>
          </w:divBdr>
        </w:div>
        <w:div w:id="1285649846">
          <w:marLeft w:val="0"/>
          <w:marRight w:val="0"/>
          <w:marTop w:val="0"/>
          <w:marBottom w:val="0"/>
          <w:divBdr>
            <w:top w:val="none" w:sz="0" w:space="0" w:color="auto"/>
            <w:left w:val="none" w:sz="0" w:space="0" w:color="auto"/>
            <w:bottom w:val="none" w:sz="0" w:space="0" w:color="auto"/>
            <w:right w:val="none" w:sz="0" w:space="0" w:color="auto"/>
          </w:divBdr>
        </w:div>
        <w:div w:id="1690176244">
          <w:marLeft w:val="0"/>
          <w:marRight w:val="0"/>
          <w:marTop w:val="0"/>
          <w:marBottom w:val="0"/>
          <w:divBdr>
            <w:top w:val="none" w:sz="0" w:space="0" w:color="auto"/>
            <w:left w:val="none" w:sz="0" w:space="0" w:color="auto"/>
            <w:bottom w:val="none" w:sz="0" w:space="0" w:color="auto"/>
            <w:right w:val="none" w:sz="0" w:space="0" w:color="auto"/>
          </w:divBdr>
        </w:div>
      </w:divsChild>
    </w:div>
    <w:div w:id="193239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908</Words>
  <Characters>5533</Characters>
  <Application>Microsoft Office Word</Application>
  <DocSecurity>0</DocSecurity>
  <Lines>138</Lines>
  <Paragraphs>80</Paragraphs>
  <ScaleCrop>false</ScaleCrop>
  <Company/>
  <LinksUpToDate>false</LinksUpToDate>
  <CharactersWithSpaces>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 chung chiu</dc:creator>
  <cp:keywords/>
  <dc:description/>
  <cp:lastModifiedBy>Microsoft Office User</cp:lastModifiedBy>
  <cp:revision>2</cp:revision>
  <dcterms:created xsi:type="dcterms:W3CDTF">2021-11-10T04:25:00Z</dcterms:created>
  <dcterms:modified xsi:type="dcterms:W3CDTF">2021-11-10T04:25:00Z</dcterms:modified>
</cp:coreProperties>
</file>