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EE35E9">
      <w:pPr>
        <w:ind w:firstLineChars="300" w:firstLine="630"/>
        <w:rPr>
          <w:rStyle w:val="NormalCharacter"/>
        </w:rPr>
      </w:pPr>
    </w:p>
    <w:p w:rsidR="00EE35E9" w:rsidRDefault="00BB0F39">
      <w:pPr>
        <w:jc w:val="center"/>
        <w:rPr>
          <w:rStyle w:val="NormalCharacter"/>
        </w:rPr>
      </w:pPr>
      <w:r>
        <w:rPr>
          <w:rStyle w:val="NormalCharacter"/>
          <w:b/>
          <w:sz w:val="160"/>
          <w:szCs w:val="84"/>
        </w:rPr>
        <w:t>2022</w:t>
      </w:r>
    </w:p>
    <w:p w:rsidR="00EE35E9" w:rsidRDefault="00BB0F39">
      <w:pPr>
        <w:jc w:val="center"/>
        <w:rPr>
          <w:rStyle w:val="NormalCharacter"/>
          <w:b/>
          <w:sz w:val="84"/>
          <w:szCs w:val="84"/>
        </w:rPr>
      </w:pPr>
      <w:r>
        <w:rPr>
          <w:rStyle w:val="NormalCharacter"/>
          <w:b/>
          <w:sz w:val="84"/>
          <w:szCs w:val="84"/>
        </w:rPr>
        <w:t>硕士研究生培养方案</w:t>
      </w: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EE35E9">
      <w:pPr>
        <w:rPr>
          <w:rStyle w:val="NormalCharacter"/>
          <w:b/>
          <w:sz w:val="32"/>
          <w:szCs w:val="32"/>
        </w:rPr>
      </w:pPr>
    </w:p>
    <w:p w:rsidR="00EE35E9" w:rsidRDefault="00BB0F39">
      <w:pPr>
        <w:jc w:val="center"/>
        <w:rPr>
          <w:rStyle w:val="NormalCharacter"/>
          <w:b/>
          <w:sz w:val="32"/>
          <w:szCs w:val="32"/>
        </w:rPr>
      </w:pPr>
      <w:r>
        <w:rPr>
          <w:rStyle w:val="NormalCharacter"/>
          <w:b/>
          <w:sz w:val="32"/>
          <w:szCs w:val="32"/>
        </w:rPr>
        <w:t>沈钧儒法学院制</w:t>
      </w:r>
    </w:p>
    <w:p w:rsidR="00EE35E9" w:rsidRDefault="00BB0F39">
      <w:pPr>
        <w:spacing w:line="360" w:lineRule="auto"/>
        <w:jc w:val="center"/>
        <w:rPr>
          <w:rStyle w:val="NormalCharacter"/>
          <w:b/>
          <w:sz w:val="32"/>
          <w:szCs w:val="32"/>
        </w:rPr>
      </w:pPr>
      <w:r>
        <w:rPr>
          <w:rStyle w:val="NormalCharacter"/>
          <w:b/>
          <w:sz w:val="32"/>
          <w:szCs w:val="32"/>
        </w:rPr>
        <w:br/>
      </w:r>
    </w:p>
    <w:p w:rsidR="001B43C0" w:rsidRDefault="001B43C0">
      <w:pPr>
        <w:spacing w:line="360" w:lineRule="auto"/>
        <w:jc w:val="center"/>
        <w:rPr>
          <w:rStyle w:val="NormalCharacter"/>
          <w:b/>
          <w:sz w:val="32"/>
          <w:szCs w:val="32"/>
        </w:rPr>
      </w:pPr>
    </w:p>
    <w:p w:rsidR="001B43C0" w:rsidRDefault="001B43C0">
      <w:pPr>
        <w:spacing w:line="360" w:lineRule="auto"/>
        <w:jc w:val="center"/>
        <w:rPr>
          <w:rStyle w:val="NormalCharacter"/>
          <w:b/>
          <w:sz w:val="32"/>
          <w:szCs w:val="32"/>
        </w:rPr>
      </w:pPr>
    </w:p>
    <w:p w:rsidR="001B43C0" w:rsidRDefault="001B43C0">
      <w:pPr>
        <w:spacing w:line="360" w:lineRule="auto"/>
        <w:jc w:val="center"/>
        <w:rPr>
          <w:rStyle w:val="NormalCharacter"/>
          <w:b/>
          <w:sz w:val="32"/>
          <w:szCs w:val="32"/>
        </w:rPr>
      </w:pPr>
    </w:p>
    <w:p w:rsidR="00EE35E9" w:rsidRDefault="00BB0F39">
      <w:pPr>
        <w:spacing w:line="360" w:lineRule="auto"/>
        <w:jc w:val="center"/>
        <w:rPr>
          <w:rStyle w:val="NormalCharacter"/>
          <w:rFonts w:ascii="楷体_GB2312" w:eastAsia="楷体_GB2312"/>
          <w:bCs/>
          <w:sz w:val="24"/>
        </w:rPr>
      </w:pPr>
      <w:r>
        <w:rPr>
          <w:rStyle w:val="NormalCharacter"/>
          <w:rFonts w:eastAsia="黑体"/>
          <w:b/>
          <w:bCs/>
          <w:sz w:val="32"/>
        </w:rPr>
        <w:lastRenderedPageBreak/>
        <w:t>杭州师范大学全日制专业学位硕士研究生培养方案</w:t>
      </w:r>
    </w:p>
    <w:p w:rsidR="00EE35E9" w:rsidRDefault="00BB0F39">
      <w:pPr>
        <w:snapToGrid w:val="0"/>
        <w:spacing w:line="360" w:lineRule="auto"/>
        <w:jc w:val="center"/>
        <w:rPr>
          <w:rStyle w:val="NormalCharacter"/>
          <w:rFonts w:ascii="楷体" w:eastAsia="楷体" w:hAnsi="楷体" w:cs="楷体"/>
          <w:bCs/>
          <w:sz w:val="24"/>
        </w:rPr>
      </w:pPr>
      <w:r>
        <w:rPr>
          <w:rStyle w:val="NormalCharacter"/>
          <w:rFonts w:ascii="楷体" w:eastAsia="楷体" w:hAnsi="楷体" w:cs="楷体"/>
          <w:bCs/>
          <w:sz w:val="24"/>
        </w:rPr>
        <w:t>【教育硕士；</w:t>
      </w:r>
      <w:r>
        <w:rPr>
          <w:rStyle w:val="NormalCharacter"/>
          <w:rFonts w:ascii="楷体" w:eastAsia="楷体" w:hAnsi="楷体"/>
          <w:sz w:val="24"/>
        </w:rPr>
        <w:t>学科教学（思政）(045102)</w:t>
      </w:r>
      <w:r>
        <w:rPr>
          <w:rStyle w:val="NormalCharacter"/>
          <w:rFonts w:ascii="楷体" w:eastAsia="楷体" w:hAnsi="楷体" w:cs="楷体"/>
          <w:bCs/>
          <w:sz w:val="24"/>
        </w:rPr>
        <w:t>】</w:t>
      </w:r>
    </w:p>
    <w:p w:rsidR="00EE35E9" w:rsidRPr="001B43C0" w:rsidRDefault="00EE35E9">
      <w:pPr>
        <w:snapToGrid w:val="0"/>
        <w:spacing w:line="360" w:lineRule="auto"/>
        <w:jc w:val="center"/>
        <w:rPr>
          <w:rStyle w:val="NormalCharacter"/>
          <w:rFonts w:ascii="sans-serif" w:hAnsi="sans-serif"/>
          <w:b/>
          <w:bCs/>
        </w:rPr>
      </w:pPr>
    </w:p>
    <w:p w:rsidR="00EE35E9" w:rsidRDefault="00EE35E9">
      <w:pPr>
        <w:snapToGrid w:val="0"/>
        <w:spacing w:line="360" w:lineRule="auto"/>
        <w:jc w:val="center"/>
        <w:rPr>
          <w:rStyle w:val="NormalCharacter"/>
          <w:rFonts w:ascii="sans-serif" w:hAnsi="sans-serif"/>
          <w:b/>
          <w:bCs/>
        </w:rPr>
      </w:pPr>
    </w:p>
    <w:p w:rsidR="00EE35E9" w:rsidRDefault="00BB0F39">
      <w:pPr>
        <w:spacing w:line="360" w:lineRule="auto"/>
        <w:rPr>
          <w:rStyle w:val="NormalCharacter"/>
          <w:rFonts w:ascii="楷体_GB2312" w:eastAsia="楷体_GB2312" w:hAnsi="宋体"/>
          <w:sz w:val="24"/>
        </w:rPr>
      </w:pPr>
      <w:r>
        <w:rPr>
          <w:rStyle w:val="NormalCharacter"/>
          <w:rFonts w:eastAsia="黑体"/>
          <w:b/>
          <w:bCs/>
          <w:sz w:val="28"/>
        </w:rPr>
        <w:t>一、培养目标</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培养高素质的基础教育学校和中等职业技术教育学校思想政治课程专任教师。具体要求为：</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1.热爱祖国，拥护中国共产党领导。热爱教育事业，教书育人，为人师表，积极进取，勇于创新。</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2.掌握现代教育理论</w:t>
      </w:r>
      <w:r>
        <w:rPr>
          <w:rStyle w:val="NormalCharacter"/>
          <w:rFonts w:ascii="楷体_GB2312" w:eastAsia="楷体_GB2312"/>
          <w:sz w:val="24"/>
        </w:rPr>
        <w:t>和法学专业知识</w:t>
      </w:r>
      <w:r>
        <w:rPr>
          <w:rStyle w:val="NormalCharacter"/>
          <w:rFonts w:ascii="楷体_GB2312" w:eastAsia="楷体_GB2312" w:hAnsi="仿宋_GB2312"/>
          <w:sz w:val="24"/>
        </w:rPr>
        <w:t>,具有良好的知识结构和扎实的专业基础，了解学科前沿和发展趋势。</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3.能够熟练使用现代教育技术，具有较强的教育实践能力和法学思维，能够胜任道德与法治等思想政治课程的教育教学工作，并能够开展具有一定创造性的教育教学和研究工作。</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4.熟悉基础教育课程改革动态，掌握基础教育课程改革新理念、新内容和新方法。</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5.具有发现和解决问题、终身学习与发展的意识与能力。</w:t>
      </w:r>
    </w:p>
    <w:p w:rsidR="00EE35E9" w:rsidRDefault="00BB0F39">
      <w:pPr>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6.能较为熟练地运用一种外国语阅读本专业的外文文献资料。</w:t>
      </w:r>
    </w:p>
    <w:p w:rsidR="00EE35E9" w:rsidRDefault="00BB0F39">
      <w:pPr>
        <w:spacing w:line="360" w:lineRule="auto"/>
        <w:rPr>
          <w:rStyle w:val="NormalCharacter"/>
          <w:rFonts w:eastAsia="黑体"/>
          <w:b/>
          <w:bCs/>
          <w:sz w:val="28"/>
        </w:rPr>
      </w:pPr>
      <w:r>
        <w:rPr>
          <w:rStyle w:val="NormalCharacter"/>
          <w:rFonts w:eastAsia="黑体"/>
          <w:b/>
          <w:bCs/>
          <w:sz w:val="28"/>
        </w:rPr>
        <w:t>二、招生对象</w:t>
      </w:r>
    </w:p>
    <w:p w:rsidR="00EE35E9" w:rsidRDefault="00BB0F39">
      <w:pPr>
        <w:snapToGrid w:val="0"/>
        <w:spacing w:line="360" w:lineRule="auto"/>
        <w:ind w:firstLineChars="235" w:firstLine="564"/>
        <w:rPr>
          <w:rStyle w:val="NormalCharacter"/>
          <w:rFonts w:eastAsia="黑体"/>
          <w:b/>
          <w:bCs/>
          <w:sz w:val="28"/>
        </w:rPr>
      </w:pPr>
      <w:r>
        <w:rPr>
          <w:rStyle w:val="NormalCharacter"/>
          <w:rFonts w:ascii="楷体_GB2312" w:eastAsia="楷体_GB2312" w:hAnsi="仿宋_GB2312"/>
          <w:sz w:val="24"/>
        </w:rPr>
        <w:t>具有国民教育系列大学本科学历（或本科同等学力）人员。</w:t>
      </w:r>
    </w:p>
    <w:p w:rsidR="00EE35E9" w:rsidRDefault="00BB0F39">
      <w:pPr>
        <w:spacing w:line="360" w:lineRule="auto"/>
        <w:rPr>
          <w:rStyle w:val="NormalCharacter"/>
          <w:rFonts w:ascii="楷体_GB2312" w:eastAsia="楷体_GB2312"/>
          <w:sz w:val="24"/>
        </w:rPr>
      </w:pPr>
      <w:r>
        <w:rPr>
          <w:rStyle w:val="NormalCharacter"/>
          <w:rFonts w:eastAsia="黑体"/>
          <w:b/>
          <w:bCs/>
          <w:sz w:val="28"/>
        </w:rPr>
        <w:t>三、学习方式及年限</w:t>
      </w:r>
    </w:p>
    <w:p w:rsidR="00EE35E9" w:rsidRDefault="00BB0F39">
      <w:pPr>
        <w:snapToGrid w:val="0"/>
        <w:spacing w:line="360" w:lineRule="auto"/>
        <w:ind w:firstLineChars="235" w:firstLine="564"/>
        <w:rPr>
          <w:rStyle w:val="NormalCharacter"/>
          <w:rFonts w:eastAsia="黑体"/>
          <w:b/>
          <w:bCs/>
          <w:sz w:val="28"/>
        </w:rPr>
      </w:pPr>
      <w:r>
        <w:rPr>
          <w:rStyle w:val="NormalCharacter"/>
          <w:rFonts w:ascii="楷体_GB2312" w:eastAsia="楷体_GB2312" w:hAnsi="仿宋_GB2312"/>
          <w:sz w:val="24"/>
        </w:rPr>
        <w:t>学习方式为全日制学习；学习年限为2.5年，在校年限（含休学）最长不超过5年。如确有必要可申请延长学习年限，延长期每次申请不得超过1年。</w:t>
      </w:r>
    </w:p>
    <w:p w:rsidR="00EE35E9" w:rsidRDefault="00BB0F39">
      <w:pPr>
        <w:spacing w:line="360" w:lineRule="auto"/>
        <w:rPr>
          <w:rStyle w:val="NormalCharacter"/>
          <w:rFonts w:ascii="楷体_GB2312" w:eastAsia="楷体_GB2312"/>
          <w:color w:val="000000"/>
          <w:sz w:val="24"/>
        </w:rPr>
      </w:pPr>
      <w:r>
        <w:rPr>
          <w:rStyle w:val="NormalCharacter"/>
          <w:rFonts w:eastAsia="黑体"/>
          <w:b/>
          <w:bCs/>
          <w:sz w:val="28"/>
        </w:rPr>
        <w:t>四、培养方式</w:t>
      </w:r>
    </w:p>
    <w:p w:rsidR="00EE35E9" w:rsidRDefault="00BB0F39">
      <w:pPr>
        <w:snapToGrid w:val="0"/>
        <w:spacing w:line="360" w:lineRule="auto"/>
        <w:ind w:firstLineChars="235" w:firstLine="564"/>
        <w:rPr>
          <w:rStyle w:val="NormalCharacter"/>
          <w:rFonts w:ascii="楷体_GB2312" w:eastAsia="楷体_GB2312" w:hAnsi="仿宋_GB2312"/>
          <w:sz w:val="24"/>
        </w:rPr>
      </w:pPr>
      <w:r>
        <w:rPr>
          <w:rStyle w:val="NormalCharacter"/>
          <w:rFonts w:ascii="楷体_GB2312" w:eastAsia="楷体_GB2312" w:hAnsi="仿宋_GB2312"/>
          <w:sz w:val="24"/>
        </w:rPr>
        <w:t>实施基于</w:t>
      </w:r>
      <w:r>
        <w:rPr>
          <w:rStyle w:val="NormalCharacter"/>
          <w:rFonts w:ascii="楷体_GB2312" w:eastAsia="楷体_GB2312" w:hAnsi="仿宋_GB2312"/>
          <w:sz w:val="24"/>
        </w:rPr>
        <w:t>“</w:t>
      </w:r>
      <w:r>
        <w:rPr>
          <w:rStyle w:val="NormalCharacter"/>
          <w:rFonts w:ascii="楷体_GB2312" w:eastAsia="楷体_GB2312" w:hAnsi="仿宋_GB2312"/>
          <w:sz w:val="24"/>
        </w:rPr>
        <w:t>全程（All the way）</w:t>
      </w:r>
      <w:r>
        <w:rPr>
          <w:rStyle w:val="NormalCharacter"/>
          <w:rFonts w:ascii="楷体_GB2312" w:eastAsia="楷体_GB2312" w:hAnsi="仿宋_GB2312"/>
          <w:sz w:val="24"/>
        </w:rPr>
        <w:t>·</w:t>
      </w:r>
      <w:r>
        <w:rPr>
          <w:rStyle w:val="NormalCharacter"/>
          <w:rFonts w:ascii="楷体_GB2312" w:eastAsia="楷体_GB2312" w:hAnsi="仿宋_GB2312"/>
          <w:sz w:val="24"/>
        </w:rPr>
        <w:t>融合（Blending）</w:t>
      </w:r>
      <w:r>
        <w:rPr>
          <w:rStyle w:val="NormalCharacter"/>
          <w:rFonts w:ascii="楷体_GB2312" w:eastAsia="楷体_GB2312" w:hAnsi="仿宋_GB2312"/>
          <w:sz w:val="24"/>
        </w:rPr>
        <w:t>·</w:t>
      </w:r>
      <w:r>
        <w:rPr>
          <w:rStyle w:val="NormalCharacter"/>
          <w:rFonts w:ascii="楷体_GB2312" w:eastAsia="楷体_GB2312" w:hAnsi="仿宋_GB2312"/>
          <w:sz w:val="24"/>
        </w:rPr>
        <w:t>协同（Collaborating）</w:t>
      </w:r>
      <w:r>
        <w:rPr>
          <w:rStyle w:val="NormalCharacter"/>
          <w:rFonts w:ascii="楷体_GB2312" w:eastAsia="楷体_GB2312" w:hAnsi="仿宋_GB2312"/>
          <w:sz w:val="24"/>
        </w:rPr>
        <w:t>”</w:t>
      </w:r>
      <w:r>
        <w:rPr>
          <w:rStyle w:val="NormalCharacter"/>
          <w:rFonts w:ascii="楷体_GB2312" w:eastAsia="楷体_GB2312" w:hAnsi="仿宋_GB2312"/>
          <w:sz w:val="24"/>
        </w:rPr>
        <w:t>的全日制教育硕士专业学位培养模式[简称</w:t>
      </w:r>
      <w:r>
        <w:rPr>
          <w:rStyle w:val="NormalCharacter"/>
          <w:rFonts w:ascii="楷体_GB2312" w:eastAsia="楷体_GB2312" w:hAnsi="仿宋_GB2312"/>
          <w:sz w:val="24"/>
        </w:rPr>
        <w:t>“</w:t>
      </w:r>
      <w:r>
        <w:rPr>
          <w:rStyle w:val="NormalCharacter"/>
          <w:rFonts w:ascii="楷体_GB2312" w:eastAsia="楷体_GB2312" w:hAnsi="仿宋_GB2312"/>
          <w:sz w:val="24"/>
        </w:rPr>
        <w:t>ABC培养模式</w:t>
      </w:r>
      <w:r>
        <w:rPr>
          <w:rStyle w:val="NormalCharacter"/>
          <w:rFonts w:ascii="楷体_GB2312" w:eastAsia="楷体_GB2312" w:hAnsi="仿宋_GB2312"/>
          <w:sz w:val="24"/>
        </w:rPr>
        <w:t>”</w:t>
      </w:r>
      <w:r>
        <w:rPr>
          <w:rStyle w:val="NormalCharacter"/>
          <w:rFonts w:ascii="楷体_GB2312" w:eastAsia="楷体_GB2312" w:hAnsi="仿宋_GB2312"/>
          <w:sz w:val="24"/>
        </w:rPr>
        <w:t>（详见下图）]：</w:t>
      </w:r>
    </w:p>
    <w:p w:rsidR="00EE35E9" w:rsidRDefault="00574D69">
      <w:pPr>
        <w:snapToGrid w:val="0"/>
        <w:spacing w:line="360" w:lineRule="auto"/>
        <w:jc w:val="center"/>
        <w:rPr>
          <w:rStyle w:val="NormalCharacter"/>
          <w:rFonts w:ascii="楷体_GB2312" w:eastAsia="楷体_GB2312" w:hAnsi="仿宋_GB2312"/>
          <w:sz w:val="24"/>
        </w:rPr>
      </w:pPr>
      <w:r>
        <w:lastRenderedPageBreak/>
        <w:pict>
          <v:shape id="_x0000_s1028" style="position:absolute;left:0;text-align:left;margin-left:0;margin-top:0;width:50pt;height:50pt;z-index:251657728;visibility:hidden" coordsize="21600,21600" o:spt="100" adj="0,,0" path="" filled="f" stroked="f">
            <v:stroke joinstyle="miter"/>
            <v:formulas/>
            <v:path o:connecttype="segments"/>
            <o:lock v:ext="edit" selection="t"/>
          </v:shape>
        </w:pict>
      </w:r>
      <w:r w:rsidR="007E6D6D">
        <w:pict>
          <v:shape id="_x0000_i1025" style="width:414.6pt;height:195pt;visibility:visible;mso-position-horizontal-relative:page;mso-position-vertical-relative:page" coordsize="21600,21600" o:spt="100" adj="0,,0" path="" filled="f" stroked="f">
            <v:stroke joinstyle="miter"/>
            <v:imagedata r:id="rId6" o:title=""/>
            <v:formulas/>
            <v:path o:connecttype="segments"/>
          </v:shape>
        </w:pict>
      </w:r>
    </w:p>
    <w:p w:rsidR="00EE35E9" w:rsidRDefault="007E6D6D">
      <w:pPr>
        <w:snapToGrid w:val="0"/>
        <w:spacing w:line="360" w:lineRule="auto"/>
        <w:jc w:val="center"/>
        <w:rPr>
          <w:rStyle w:val="NormalCharacter"/>
          <w:rFonts w:ascii="楷体_GB2312" w:eastAsia="楷体_GB2312" w:hAnsi="仿宋_GB2312"/>
          <w:sz w:val="24"/>
        </w:rPr>
      </w:pPr>
      <w:r>
        <w:pict>
          <v:shape id="_x0000_i1026" style="width:258.6pt;height:28.8pt;visibility:visible;mso-position-horizontal-relative:page;mso-position-vertical-relative:page" coordsize="21600,21600" o:spt="100" adj="0,,0" path="" filled="f" stroked="f">
            <v:stroke joinstyle="miter"/>
            <v:imagedata r:id="rId7" o:title=""/>
            <v:formulas/>
            <v:path o:connecttype="segments"/>
          </v:shape>
        </w:pict>
      </w:r>
    </w:p>
    <w:p w:rsidR="00EE35E9" w:rsidRDefault="00BB0F39">
      <w:pPr>
        <w:snapToGrid w:val="0"/>
        <w:spacing w:line="360" w:lineRule="auto"/>
        <w:ind w:firstLineChars="235" w:firstLine="566"/>
        <w:rPr>
          <w:rStyle w:val="NormalCharacter"/>
          <w:rFonts w:ascii="楷体_GB2312" w:eastAsia="楷体_GB2312" w:hAnsi="仿宋_GB2312"/>
          <w:b/>
          <w:bCs/>
          <w:sz w:val="24"/>
        </w:rPr>
      </w:pPr>
      <w:r>
        <w:rPr>
          <w:rStyle w:val="NormalCharacter"/>
          <w:rFonts w:ascii="楷体_GB2312" w:eastAsia="楷体_GB2312" w:hAnsi="仿宋_GB2312"/>
          <w:b/>
          <w:bCs/>
          <w:sz w:val="24"/>
        </w:rPr>
        <w:t>（1）全程融合与协同</w:t>
      </w:r>
    </w:p>
    <w:p w:rsidR="00EE35E9" w:rsidRDefault="00BB0F39">
      <w:pPr>
        <w:snapToGrid w:val="0"/>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全程是指研究生从入学到毕业整个学习过程中，都要接受理论与实践融合、大学与基地协同培养。校内导师是负责研究生全程业务学习（包括教育实践环节）的第一责任人。</w:t>
      </w:r>
      <w:r>
        <w:rPr>
          <w:rStyle w:val="NormalCharacter"/>
          <w:rFonts w:ascii="楷体_GB2312" w:eastAsia="楷体_GB2312" w:hAnsi="仿宋"/>
          <w:sz w:val="24"/>
        </w:rPr>
        <w:t>实践教学时间原则上不少于1学年，其中校外（基地）集中实践不少于1学期。</w:t>
      </w:r>
    </w:p>
    <w:p w:rsidR="00EE35E9" w:rsidRDefault="00BB0F39">
      <w:pPr>
        <w:snapToGrid w:val="0"/>
        <w:spacing w:line="360" w:lineRule="auto"/>
        <w:ind w:firstLineChars="235" w:firstLine="566"/>
        <w:rPr>
          <w:rStyle w:val="NormalCharacter"/>
          <w:rFonts w:ascii="楷体_GB2312" w:eastAsia="楷体_GB2312" w:hAnsi="仿宋_GB2312"/>
          <w:b/>
          <w:bCs/>
          <w:sz w:val="24"/>
        </w:rPr>
      </w:pPr>
      <w:r>
        <w:rPr>
          <w:rStyle w:val="NormalCharacter"/>
          <w:rFonts w:ascii="楷体_GB2312" w:eastAsia="楷体_GB2312" w:hAnsi="仿宋_GB2312"/>
          <w:b/>
          <w:bCs/>
          <w:sz w:val="24"/>
        </w:rPr>
        <w:t>（2）理论与实践融合</w:t>
      </w:r>
    </w:p>
    <w:p w:rsidR="00EE35E9" w:rsidRDefault="00BB0F39">
      <w:pPr>
        <w:snapToGrid w:val="0"/>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主要通过五个途径：一是双师课程，校内导师与实践</w:t>
      </w:r>
      <w:proofErr w:type="gramStart"/>
      <w:r>
        <w:rPr>
          <w:rStyle w:val="NormalCharacter"/>
          <w:rFonts w:ascii="楷体_GB2312" w:eastAsia="楷体_GB2312" w:hAnsi="仿宋_GB2312"/>
          <w:sz w:val="24"/>
        </w:rPr>
        <w:t>导师同授一门</w:t>
      </w:r>
      <w:proofErr w:type="gramEnd"/>
      <w:r>
        <w:rPr>
          <w:rStyle w:val="NormalCharacter"/>
          <w:rFonts w:ascii="楷体_GB2312" w:eastAsia="楷体_GB2312" w:hAnsi="仿宋_GB2312"/>
          <w:sz w:val="24"/>
        </w:rPr>
        <w:t>课；二是夯实理论与实践感知相结合；三是应用理论与实践体验（工作式学习研究）相结合；四是提升理论与实践反思相结合（学位论文和教师合格水平达标）；五是</w:t>
      </w:r>
      <w:r>
        <w:rPr>
          <w:rStyle w:val="NormalCharacter"/>
          <w:rFonts w:ascii="楷体_GB2312" w:eastAsia="楷体_GB2312" w:hAnsi="仿宋_GB2312"/>
          <w:sz w:val="24"/>
        </w:rPr>
        <w:t>“</w:t>
      </w:r>
      <w:r>
        <w:rPr>
          <w:rStyle w:val="NormalCharacter"/>
          <w:rFonts w:ascii="楷体_GB2312" w:eastAsia="楷体_GB2312" w:hAnsi="仿宋_GB2312"/>
          <w:sz w:val="24"/>
        </w:rPr>
        <w:t>远航大讲堂</w:t>
      </w:r>
      <w:r>
        <w:rPr>
          <w:rStyle w:val="NormalCharacter"/>
          <w:rFonts w:ascii="楷体_GB2312" w:eastAsia="楷体_GB2312" w:hAnsi="仿宋_GB2312"/>
          <w:sz w:val="24"/>
        </w:rPr>
        <w:t>”</w:t>
      </w:r>
      <w:r>
        <w:rPr>
          <w:rStyle w:val="NormalCharacter"/>
          <w:rFonts w:ascii="楷体_GB2312" w:eastAsia="楷体_GB2312" w:hAnsi="仿宋_GB2312"/>
          <w:sz w:val="24"/>
        </w:rPr>
        <w:t>，主要邀请国内外教育管理专家、一线教学名师以及其他相关专家等进行交流指导。</w:t>
      </w:r>
    </w:p>
    <w:p w:rsidR="00EE35E9" w:rsidRDefault="00BB0F39">
      <w:pPr>
        <w:snapToGrid w:val="0"/>
        <w:spacing w:line="360" w:lineRule="auto"/>
        <w:ind w:firstLineChars="235" w:firstLine="566"/>
        <w:rPr>
          <w:rStyle w:val="NormalCharacter"/>
          <w:rFonts w:ascii="楷体_GB2312" w:eastAsia="楷体_GB2312" w:hAnsi="仿宋_GB2312"/>
          <w:b/>
          <w:bCs/>
          <w:sz w:val="24"/>
        </w:rPr>
      </w:pPr>
      <w:r>
        <w:rPr>
          <w:rStyle w:val="NormalCharacter"/>
          <w:rFonts w:ascii="楷体_GB2312" w:eastAsia="楷体_GB2312" w:hAnsi="仿宋_GB2312"/>
          <w:b/>
          <w:bCs/>
          <w:sz w:val="24"/>
        </w:rPr>
        <w:t>（3）大学与基地协同</w:t>
      </w:r>
    </w:p>
    <w:p w:rsidR="00EE35E9" w:rsidRDefault="00BB0F39">
      <w:pPr>
        <w:snapToGrid w:val="0"/>
        <w:spacing w:line="360" w:lineRule="auto"/>
        <w:ind w:firstLineChars="200" w:firstLine="480"/>
        <w:rPr>
          <w:rStyle w:val="NormalCharacter"/>
          <w:rFonts w:ascii="楷体_GB2312" w:eastAsia="楷体_GB2312" w:hAnsi="仿宋_GB2312"/>
          <w:sz w:val="24"/>
        </w:rPr>
      </w:pPr>
      <w:r>
        <w:rPr>
          <w:rStyle w:val="NormalCharacter"/>
          <w:rFonts w:ascii="楷体_GB2312" w:eastAsia="楷体_GB2312" w:hAnsi="仿宋_GB2312"/>
          <w:sz w:val="24"/>
        </w:rPr>
        <w:t>主要是指大学（校内导师）与基地（实践导师）发挥各自的能力优势，整合互补性资源，协同培养。具体而言，就是协同实施</w:t>
      </w:r>
      <w:r>
        <w:rPr>
          <w:rStyle w:val="NormalCharacter"/>
          <w:rFonts w:ascii="楷体_GB2312" w:eastAsia="楷体_GB2312" w:hAnsi="仿宋_GB2312"/>
          <w:sz w:val="24"/>
        </w:rPr>
        <w:t>“</w:t>
      </w:r>
      <w:r>
        <w:rPr>
          <w:rStyle w:val="NormalCharacter"/>
          <w:rFonts w:ascii="楷体_GB2312" w:eastAsia="楷体_GB2312" w:hAnsi="仿宋_GB2312"/>
          <w:sz w:val="24"/>
        </w:rPr>
        <w:t>理论与实践融合</w:t>
      </w:r>
      <w:r>
        <w:rPr>
          <w:rStyle w:val="NormalCharacter"/>
          <w:rFonts w:ascii="楷体_GB2312" w:eastAsia="楷体_GB2312" w:hAnsi="仿宋_GB2312"/>
          <w:sz w:val="24"/>
        </w:rPr>
        <w:t>”</w:t>
      </w:r>
      <w:r>
        <w:rPr>
          <w:rStyle w:val="NormalCharacter"/>
          <w:rFonts w:ascii="楷体_GB2312" w:eastAsia="楷体_GB2312" w:hAnsi="仿宋_GB2312"/>
          <w:sz w:val="24"/>
        </w:rPr>
        <w:t>的前四个途径。</w:t>
      </w:r>
    </w:p>
    <w:p w:rsidR="00EE35E9" w:rsidRDefault="00BB0F39">
      <w:pPr>
        <w:snapToGrid w:val="0"/>
        <w:spacing w:line="360" w:lineRule="auto"/>
        <w:rPr>
          <w:rStyle w:val="NormalCharacter"/>
          <w:rFonts w:ascii="楷体_GB2312" w:eastAsia="楷体_GB2312" w:hAnsi="宋体"/>
          <w:sz w:val="24"/>
        </w:rPr>
      </w:pPr>
      <w:r>
        <w:rPr>
          <w:rStyle w:val="NormalCharacter"/>
          <w:rFonts w:eastAsia="黑体"/>
          <w:b/>
          <w:bCs/>
          <w:sz w:val="28"/>
        </w:rPr>
        <w:t>五、课程设置与学分</w:t>
      </w:r>
      <w:r>
        <w:rPr>
          <w:rStyle w:val="NormalCharacter"/>
          <w:rFonts w:ascii="楷体_GB2312" w:eastAsia="楷体_GB2312"/>
          <w:bCs/>
          <w:sz w:val="24"/>
        </w:rPr>
        <w:t>（</w:t>
      </w:r>
      <w:r>
        <w:rPr>
          <w:rStyle w:val="NormalCharacter"/>
          <w:rFonts w:ascii="楷体_GB2312" w:eastAsia="楷体_GB2312" w:hAnsi="宋体"/>
          <w:sz w:val="24"/>
        </w:rPr>
        <w:t>见附表）</w:t>
      </w:r>
    </w:p>
    <w:p w:rsidR="00EE35E9" w:rsidRDefault="00BB0F39">
      <w:pPr>
        <w:snapToGrid w:val="0"/>
        <w:spacing w:line="360" w:lineRule="auto"/>
        <w:ind w:firstLineChars="235" w:firstLine="564"/>
        <w:rPr>
          <w:rStyle w:val="NormalCharacter"/>
          <w:rFonts w:ascii="楷体_GB2312" w:eastAsia="楷体_GB2312" w:hAnsi="宋体"/>
          <w:sz w:val="24"/>
        </w:rPr>
      </w:pPr>
      <w:r>
        <w:rPr>
          <w:rStyle w:val="NormalCharacter"/>
          <w:rFonts w:ascii="楷体_GB2312" w:eastAsia="楷体_GB2312" w:hAnsi="宋体"/>
          <w:sz w:val="24"/>
        </w:rPr>
        <w:t>课程设置体现了理论与实践相结合的原则，突出课程实用性和综合性，按学位基础课、专业必修课、专业选修课（含全校公共选修课）和实践教学（含必修环节和实践课程）四大类设置。每位硕士研究生必须选修至少1学分的全</w:t>
      </w:r>
      <w:r>
        <w:rPr>
          <w:rStyle w:val="NormalCharacter"/>
          <w:rFonts w:ascii="楷体_GB2312" w:eastAsia="楷体_GB2312" w:hAnsi="宋体"/>
          <w:sz w:val="24"/>
        </w:rPr>
        <w:lastRenderedPageBreak/>
        <w:t>校公共选修课。硕士研究生培养实行学分制，在攻读学位期间，应修总学分不少于39学分。</w:t>
      </w:r>
    </w:p>
    <w:p w:rsidR="00EE35E9" w:rsidRDefault="00BB0F39">
      <w:pPr>
        <w:snapToGrid w:val="0"/>
        <w:spacing w:line="360" w:lineRule="auto"/>
        <w:ind w:firstLineChars="235" w:firstLine="564"/>
        <w:rPr>
          <w:rStyle w:val="NormalCharacter"/>
          <w:rFonts w:ascii="楷体_GB2312" w:eastAsia="楷体_GB2312" w:hAnsi="仿宋_GB2312"/>
          <w:sz w:val="24"/>
        </w:rPr>
      </w:pPr>
      <w:r>
        <w:rPr>
          <w:rStyle w:val="NormalCharacter"/>
          <w:rFonts w:ascii="楷体_GB2312" w:eastAsia="楷体_GB2312" w:hAnsi="仿宋_GB2312"/>
          <w:sz w:val="24"/>
        </w:rPr>
        <w:t>必修环节包括学术道德教育与学术规范训练、文献阅读报告、学术活动、社会实践和社会公益等。未完成必修环节各项内容要求的，不能获得相应学分，也不得申请学位论文送审。</w:t>
      </w:r>
    </w:p>
    <w:p w:rsidR="00EE35E9" w:rsidRDefault="00BB0F39">
      <w:pPr>
        <w:snapToGrid w:val="0"/>
        <w:spacing w:line="360" w:lineRule="auto"/>
        <w:ind w:firstLineChars="235" w:firstLine="564"/>
        <w:rPr>
          <w:rStyle w:val="NormalCharacter"/>
          <w:rFonts w:ascii="楷体_GB2312" w:eastAsia="楷体_GB2312" w:hAnsi="仿宋_GB2312"/>
          <w:sz w:val="24"/>
        </w:rPr>
      </w:pPr>
      <w:r>
        <w:rPr>
          <w:rStyle w:val="NormalCharacter"/>
          <w:rFonts w:ascii="楷体_GB2312" w:eastAsia="楷体_GB2312" w:hAnsi="仿宋_GB2312"/>
          <w:sz w:val="24"/>
        </w:rPr>
        <w:t>学术道德教育与学术规范训练：建立健全学术道德标准和学术规范，通过各种有效途径，对学位申请者进行学术道德教育和学术规范训练，培养学位申请者严谨的治学态度和求实的科学精神。</w:t>
      </w:r>
    </w:p>
    <w:p w:rsidR="00EE35E9" w:rsidRDefault="00BB0F39">
      <w:pPr>
        <w:snapToGrid w:val="0"/>
        <w:spacing w:line="360" w:lineRule="auto"/>
        <w:ind w:firstLineChars="235" w:firstLine="564"/>
        <w:rPr>
          <w:rStyle w:val="NormalCharacter"/>
          <w:rFonts w:ascii="楷体_GB2312" w:eastAsia="楷体_GB2312" w:hAnsi="仿宋_GB2312"/>
          <w:sz w:val="24"/>
        </w:rPr>
      </w:pPr>
      <w:r>
        <w:rPr>
          <w:rStyle w:val="NormalCharacter"/>
          <w:rFonts w:ascii="楷体_GB2312" w:eastAsia="楷体_GB2312" w:hAnsi="仿宋_GB2312"/>
          <w:sz w:val="24"/>
        </w:rPr>
        <w:t>文献阅读报告：充分发挥经典文献阅读在夯实硕士研究生本学科基础知识和基本理论中的作用。规定硕士研究生必读的经典文献，同时提出阅读和考核要求，每位硕士研究生必须在第四学期期末之前向导师提交至少2份书面文献阅读报告。</w:t>
      </w:r>
    </w:p>
    <w:p w:rsidR="00EE35E9" w:rsidRDefault="00BB0F39">
      <w:pPr>
        <w:snapToGrid w:val="0"/>
        <w:spacing w:line="360" w:lineRule="auto"/>
        <w:ind w:firstLineChars="235" w:firstLine="564"/>
        <w:rPr>
          <w:rStyle w:val="NormalCharacter"/>
          <w:rFonts w:eastAsia="黑体"/>
          <w:b/>
          <w:bCs/>
          <w:sz w:val="28"/>
        </w:rPr>
      </w:pPr>
      <w:r>
        <w:rPr>
          <w:rStyle w:val="NormalCharacter"/>
          <w:rFonts w:ascii="楷体_GB2312" w:eastAsia="楷体_GB2312" w:hAnsi="仿宋_GB2312"/>
          <w:sz w:val="24"/>
        </w:rPr>
        <w:t>学术活动：为硕士研究生举办高水平的学术报告、开展学科前沿讲座、开设文献阅读课等。要求每名硕士研究生听取学术报告或科技活动不少于10次，公开做学术报告不少于2次，</w:t>
      </w:r>
      <w:r>
        <w:rPr>
          <w:rStyle w:val="NormalCharacter"/>
          <w:rFonts w:ascii="楷体_GB2312" w:eastAsia="楷体_GB2312"/>
          <w:sz w:val="24"/>
        </w:rPr>
        <w:t>开展教学研讨交流不少于2次。</w:t>
      </w:r>
    </w:p>
    <w:p w:rsidR="00EE35E9" w:rsidRDefault="00BB0F39">
      <w:pPr>
        <w:spacing w:line="360" w:lineRule="auto"/>
        <w:rPr>
          <w:rStyle w:val="NormalCharacter"/>
          <w:rFonts w:eastAsia="黑体"/>
          <w:b/>
          <w:bCs/>
          <w:sz w:val="24"/>
        </w:rPr>
      </w:pPr>
      <w:r>
        <w:rPr>
          <w:rStyle w:val="NormalCharacter"/>
          <w:rFonts w:eastAsia="黑体"/>
          <w:b/>
          <w:bCs/>
          <w:sz w:val="28"/>
        </w:rPr>
        <w:t>六、毕业考核</w:t>
      </w:r>
    </w:p>
    <w:p w:rsidR="00EE35E9" w:rsidRDefault="00BB0F39">
      <w:pPr>
        <w:spacing w:line="360" w:lineRule="auto"/>
        <w:ind w:firstLineChars="200" w:firstLine="482"/>
        <w:rPr>
          <w:rStyle w:val="NormalCharacter"/>
          <w:rFonts w:eastAsia="黑体"/>
          <w:b/>
          <w:bCs/>
          <w:sz w:val="24"/>
        </w:rPr>
      </w:pPr>
      <w:r>
        <w:rPr>
          <w:rStyle w:val="NormalCharacter"/>
          <w:rFonts w:eastAsia="黑体"/>
          <w:b/>
          <w:bCs/>
          <w:sz w:val="24"/>
        </w:rPr>
        <w:t>（一）专业能力展示</w:t>
      </w:r>
    </w:p>
    <w:p w:rsidR="00EE35E9" w:rsidRDefault="00BB0F39">
      <w:pPr>
        <w:snapToGrid w:val="0"/>
        <w:spacing w:line="360" w:lineRule="auto"/>
        <w:ind w:firstLineChars="235" w:firstLine="564"/>
        <w:rPr>
          <w:rStyle w:val="NormalCharacter"/>
          <w:rFonts w:eastAsia="黑体"/>
          <w:b/>
          <w:bCs/>
          <w:sz w:val="24"/>
        </w:rPr>
      </w:pPr>
      <w:r>
        <w:rPr>
          <w:rStyle w:val="NormalCharacter"/>
          <w:rFonts w:ascii="楷体_GB2312" w:eastAsia="楷体_GB2312" w:hAnsi="仿宋_GB2312"/>
          <w:sz w:val="24"/>
        </w:rPr>
        <w:t>教师合格水平测试须达标，即教学设计、课件制作、即兴讲演、说课和模拟上课（包括板书）五个单项须全部达到良好及以上。</w:t>
      </w:r>
    </w:p>
    <w:p w:rsidR="00EE35E9" w:rsidRDefault="00BB0F39">
      <w:pPr>
        <w:spacing w:line="360" w:lineRule="auto"/>
        <w:ind w:firstLineChars="200" w:firstLine="482"/>
        <w:rPr>
          <w:rStyle w:val="NormalCharacter"/>
          <w:rFonts w:eastAsia="黑体"/>
          <w:b/>
          <w:bCs/>
          <w:sz w:val="24"/>
        </w:rPr>
      </w:pPr>
      <w:r>
        <w:rPr>
          <w:rStyle w:val="NormalCharacter"/>
          <w:rFonts w:eastAsia="黑体"/>
          <w:b/>
          <w:bCs/>
          <w:sz w:val="24"/>
        </w:rPr>
        <w:t>（二）学位论文要求</w:t>
      </w:r>
    </w:p>
    <w:p w:rsidR="00EE35E9" w:rsidRDefault="00BB0F39">
      <w:pPr>
        <w:snapToGrid w:val="0"/>
        <w:spacing w:line="360" w:lineRule="auto"/>
        <w:ind w:firstLineChars="235" w:firstLine="564"/>
        <w:rPr>
          <w:rStyle w:val="NormalCharacter"/>
          <w:rFonts w:ascii="楷体_GB2312" w:eastAsia="楷体_GB2312"/>
          <w:bCs/>
          <w:sz w:val="24"/>
        </w:rPr>
      </w:pPr>
      <w:r>
        <w:rPr>
          <w:rStyle w:val="NormalCharacter"/>
          <w:rFonts w:ascii="楷体_GB2312" w:eastAsia="楷体_GB2312"/>
          <w:bCs/>
          <w:sz w:val="24"/>
        </w:rPr>
        <w:t xml:space="preserve">学位论文工作应按照《中华人民共和国学位条例暂行实施办法》和《杭州师范大学学位授予工作细则》有关文件的要求进行。硕士学位论文必须在导师的指导下由硕士生独立完成。论文写作和导师修改的日程安排由导师指导小组决定，论文的格式按学校有关规定执行。 </w:t>
      </w:r>
    </w:p>
    <w:p w:rsidR="00EE35E9" w:rsidRDefault="00BB0F39">
      <w:pPr>
        <w:snapToGrid w:val="0"/>
        <w:spacing w:line="360" w:lineRule="auto"/>
        <w:ind w:firstLineChars="235" w:firstLine="564"/>
        <w:rPr>
          <w:rStyle w:val="NormalCharacter"/>
          <w:rFonts w:ascii="楷体_GB2312" w:eastAsia="楷体_GB2312"/>
          <w:bCs/>
          <w:sz w:val="24"/>
        </w:rPr>
      </w:pPr>
      <w:r>
        <w:rPr>
          <w:rStyle w:val="NormalCharacter"/>
          <w:rFonts w:ascii="楷体_GB2312" w:eastAsia="楷体_GB2312"/>
          <w:bCs/>
          <w:sz w:val="24"/>
        </w:rPr>
        <w:t>硕士研究生进行课题研究和学位论文撰写时间不少于一年。学位论文选题应与专业领域和方向相一致，来源于基础教育学校和中等职业技术教育学校道德与法治等思想政治课程教育教学的实际问题。论文形式可以多样化，如调研报告、案例分析、校本课程开发、教材分析、教学案例设计等。</w:t>
      </w:r>
    </w:p>
    <w:p w:rsidR="00EE35E9" w:rsidRDefault="00BB0F39">
      <w:pPr>
        <w:snapToGrid w:val="0"/>
        <w:spacing w:line="360" w:lineRule="auto"/>
        <w:ind w:firstLineChars="235" w:firstLine="564"/>
        <w:rPr>
          <w:rStyle w:val="NormalCharacter"/>
          <w:rFonts w:ascii="楷体_GB2312" w:eastAsia="楷体_GB2312"/>
          <w:bCs/>
          <w:sz w:val="24"/>
        </w:rPr>
      </w:pPr>
      <w:r>
        <w:rPr>
          <w:rStyle w:val="NormalCharacter"/>
          <w:rFonts w:ascii="楷体_GB2312" w:eastAsia="楷体_GB2312"/>
          <w:bCs/>
          <w:sz w:val="24"/>
        </w:rPr>
        <w:lastRenderedPageBreak/>
        <w:t>除符合学校规定外，学位论文必须是一篇系统、完整的学术论文，要求概念清楚、立论正确、论述严谨、数据可靠，且层次分明、文笔简洁、流畅、图标清晰，字数不少于2万字。</w:t>
      </w:r>
    </w:p>
    <w:p w:rsidR="00EE35E9" w:rsidRDefault="00BB0F39">
      <w:pPr>
        <w:spacing w:line="360" w:lineRule="auto"/>
        <w:ind w:firstLineChars="200" w:firstLine="482"/>
        <w:rPr>
          <w:rStyle w:val="NormalCharacter"/>
          <w:rFonts w:ascii="楷体_GB2312" w:eastAsia="楷体_GB2312"/>
          <w:b/>
          <w:bCs/>
          <w:sz w:val="24"/>
        </w:rPr>
      </w:pPr>
      <w:r>
        <w:rPr>
          <w:rStyle w:val="NormalCharacter"/>
          <w:rFonts w:ascii="楷体_GB2312" w:eastAsia="楷体_GB2312"/>
          <w:b/>
          <w:bCs/>
          <w:sz w:val="24"/>
        </w:rPr>
        <w:t>1．文献阅读</w:t>
      </w:r>
    </w:p>
    <w:p w:rsidR="00EE35E9" w:rsidRDefault="00BB0F39">
      <w:pPr>
        <w:snapToGrid w:val="0"/>
        <w:spacing w:line="360" w:lineRule="auto"/>
        <w:ind w:firstLineChars="235" w:firstLine="564"/>
        <w:rPr>
          <w:rStyle w:val="NormalCharacter"/>
          <w:rFonts w:ascii="楷体_GB2312" w:eastAsia="楷体_GB2312"/>
          <w:b/>
          <w:bCs/>
          <w:sz w:val="24"/>
        </w:rPr>
      </w:pPr>
      <w:r>
        <w:rPr>
          <w:rStyle w:val="NormalCharacter"/>
          <w:rFonts w:ascii="楷体_GB2312" w:eastAsia="楷体_GB2312" w:hAnsi="仿宋_GB2312"/>
          <w:sz w:val="24"/>
        </w:rPr>
        <w:t>在论文选题及研究方向范围内至少阅读文献50篇，其中外文文献15篇，在校就读期间至少完成2篇文献阅读报告。</w:t>
      </w:r>
    </w:p>
    <w:p w:rsidR="00EE35E9" w:rsidRDefault="00BB0F39">
      <w:pPr>
        <w:spacing w:line="360" w:lineRule="auto"/>
        <w:ind w:firstLineChars="200" w:firstLine="482"/>
        <w:rPr>
          <w:rStyle w:val="NormalCharacter"/>
          <w:rFonts w:ascii="楷体_GB2312" w:eastAsia="楷体_GB2312"/>
          <w:b/>
          <w:bCs/>
          <w:sz w:val="24"/>
        </w:rPr>
      </w:pPr>
      <w:r>
        <w:rPr>
          <w:rStyle w:val="NormalCharacter"/>
          <w:rFonts w:ascii="楷体_GB2312" w:eastAsia="楷体_GB2312"/>
          <w:b/>
          <w:bCs/>
          <w:sz w:val="24"/>
        </w:rPr>
        <w:t>2．开题报告</w:t>
      </w:r>
    </w:p>
    <w:p w:rsidR="00EE35E9" w:rsidRDefault="00BB0F39">
      <w:pPr>
        <w:spacing w:line="360" w:lineRule="auto"/>
        <w:ind w:firstLineChars="200" w:firstLine="480"/>
        <w:rPr>
          <w:rStyle w:val="NormalCharacter"/>
          <w:rFonts w:ascii="楷体_GB2312" w:eastAsia="楷体_GB2312"/>
          <w:bCs/>
          <w:sz w:val="24"/>
        </w:rPr>
      </w:pPr>
      <w:r>
        <w:rPr>
          <w:rStyle w:val="NormalCharacter"/>
          <w:rFonts w:ascii="楷体_GB2312" w:eastAsia="楷体_GB2312"/>
          <w:bCs/>
          <w:sz w:val="24"/>
        </w:rPr>
        <w:t>开题报告是研究生学位论文工作的重要环节，为阐述、审核和确定学位论文题目而举行的报告会，它是监督和保证研究生学位论文质量的重要举措。</w:t>
      </w:r>
      <w:r>
        <w:rPr>
          <w:rStyle w:val="NormalCharacter"/>
          <w:rFonts w:ascii="楷体_GB2312" w:eastAsia="楷体_GB2312" w:hAnsi="宋体"/>
          <w:sz w:val="24"/>
        </w:rPr>
        <w:t>论文的开题工作安排在第三学期初进行。</w:t>
      </w:r>
    </w:p>
    <w:p w:rsidR="00EE35E9" w:rsidRDefault="00BB0F39">
      <w:pPr>
        <w:snapToGrid w:val="0"/>
        <w:spacing w:line="360" w:lineRule="auto"/>
        <w:ind w:firstLineChars="200" w:firstLine="480"/>
        <w:rPr>
          <w:rStyle w:val="NormalCharacter"/>
          <w:rFonts w:ascii="楷体_GB2312" w:eastAsia="楷体_GB2312" w:hAnsi="宋体"/>
          <w:sz w:val="24"/>
        </w:rPr>
      </w:pPr>
      <w:r>
        <w:rPr>
          <w:rStyle w:val="NormalCharacter"/>
          <w:rFonts w:ascii="楷体_GB2312" w:eastAsia="楷体_GB2312" w:hAnsi="宋体"/>
          <w:sz w:val="24"/>
        </w:rPr>
        <w:t>开题报告的内容主要包括：</w:t>
      </w:r>
      <w:r>
        <w:rPr>
          <w:rStyle w:val="NormalCharacter"/>
          <w:rFonts w:ascii="楷体_GB2312" w:eastAsia="楷体_GB2312" w:hAnsi="宋体"/>
          <w:sz w:val="24"/>
        </w:rPr>
        <w:t>①</w:t>
      </w:r>
      <w:r>
        <w:rPr>
          <w:rStyle w:val="NormalCharacter"/>
          <w:rFonts w:ascii="楷体_GB2312" w:eastAsia="楷体_GB2312" w:hAnsi="宋体"/>
          <w:sz w:val="24"/>
        </w:rPr>
        <w:t>选题依据；</w:t>
      </w:r>
      <w:r>
        <w:rPr>
          <w:rStyle w:val="NormalCharacter"/>
          <w:rFonts w:ascii="楷体_GB2312" w:eastAsia="楷体_GB2312" w:hAnsi="宋体"/>
          <w:sz w:val="24"/>
        </w:rPr>
        <w:t>②</w:t>
      </w:r>
      <w:r>
        <w:rPr>
          <w:rStyle w:val="NormalCharacter"/>
          <w:rFonts w:ascii="楷体_GB2312" w:eastAsia="楷体_GB2312" w:hAnsi="宋体"/>
          <w:sz w:val="24"/>
        </w:rPr>
        <w:t>研究内容、研究目标和</w:t>
      </w:r>
      <w:proofErr w:type="gramStart"/>
      <w:r>
        <w:rPr>
          <w:rStyle w:val="NormalCharacter"/>
          <w:rFonts w:ascii="楷体_GB2312" w:eastAsia="楷体_GB2312" w:hAnsi="宋体"/>
          <w:sz w:val="24"/>
        </w:rPr>
        <w:t>拟解决</w:t>
      </w:r>
      <w:proofErr w:type="gramEnd"/>
      <w:r>
        <w:rPr>
          <w:rStyle w:val="NormalCharacter"/>
          <w:rFonts w:ascii="楷体_GB2312" w:eastAsia="楷体_GB2312" w:hAnsi="宋体"/>
          <w:sz w:val="24"/>
        </w:rPr>
        <w:t>的关键问题；</w:t>
      </w:r>
      <w:r>
        <w:rPr>
          <w:rStyle w:val="NormalCharacter"/>
          <w:rFonts w:ascii="楷体_GB2312" w:eastAsia="楷体_GB2312" w:hAnsi="宋体"/>
          <w:sz w:val="24"/>
        </w:rPr>
        <w:t>③</w:t>
      </w:r>
      <w:r>
        <w:rPr>
          <w:rStyle w:val="NormalCharacter"/>
          <w:rFonts w:ascii="楷体_GB2312" w:eastAsia="楷体_GB2312" w:hAnsi="宋体"/>
          <w:sz w:val="24"/>
        </w:rPr>
        <w:t>拟采取的研究方案及可行性分行（包括研究方法、实验手段和技术路线）；</w:t>
      </w:r>
      <w:r>
        <w:rPr>
          <w:rStyle w:val="NormalCharacter"/>
          <w:rFonts w:ascii="楷体_GB2312" w:eastAsia="楷体_GB2312" w:hAnsi="宋体"/>
          <w:sz w:val="24"/>
        </w:rPr>
        <w:t>④</w:t>
      </w:r>
      <w:r>
        <w:rPr>
          <w:rStyle w:val="NormalCharacter"/>
          <w:rFonts w:ascii="楷体_GB2312" w:eastAsia="楷体_GB2312" w:hAnsi="宋体"/>
          <w:sz w:val="24"/>
        </w:rPr>
        <w:t>研究的特色和创新之处；</w:t>
      </w:r>
      <w:r>
        <w:rPr>
          <w:rStyle w:val="NormalCharacter"/>
          <w:rFonts w:ascii="楷体_GB2312" w:eastAsia="楷体_GB2312" w:hAnsi="宋体"/>
          <w:sz w:val="24"/>
        </w:rPr>
        <w:t>⑤</w:t>
      </w:r>
      <w:r>
        <w:rPr>
          <w:rStyle w:val="NormalCharacter"/>
          <w:rFonts w:ascii="楷体_GB2312" w:eastAsia="楷体_GB2312" w:hAnsi="宋体"/>
          <w:sz w:val="24"/>
        </w:rPr>
        <w:t>研究工作的总体安排和预期结果；</w:t>
      </w:r>
      <w:r>
        <w:rPr>
          <w:rStyle w:val="NormalCharacter"/>
          <w:rFonts w:ascii="楷体_GB2312" w:eastAsia="楷体_GB2312" w:hAnsi="宋体"/>
          <w:sz w:val="24"/>
        </w:rPr>
        <w:t>⑥</w:t>
      </w:r>
      <w:r>
        <w:rPr>
          <w:rStyle w:val="NormalCharacter"/>
          <w:rFonts w:ascii="楷体_GB2312" w:eastAsia="楷体_GB2312" w:hAnsi="宋体"/>
          <w:sz w:val="24"/>
        </w:rPr>
        <w:t>参考文献目录等。</w:t>
      </w:r>
    </w:p>
    <w:p w:rsidR="00EE35E9" w:rsidRDefault="00BB0F39">
      <w:pPr>
        <w:snapToGrid w:val="0"/>
        <w:spacing w:line="360" w:lineRule="auto"/>
        <w:ind w:firstLineChars="200" w:firstLine="480"/>
        <w:rPr>
          <w:rStyle w:val="NormalCharacter"/>
          <w:rFonts w:ascii="楷体_GB2312" w:eastAsia="楷体_GB2312" w:hAnsi="宋体"/>
          <w:sz w:val="24"/>
        </w:rPr>
      </w:pPr>
      <w:r>
        <w:rPr>
          <w:rStyle w:val="NormalCharacter"/>
          <w:rFonts w:ascii="楷体_GB2312" w:eastAsia="楷体_GB2312" w:hAnsi="宋体"/>
          <w:sz w:val="24"/>
        </w:rPr>
        <w:t>开题报告会公开举行，</w:t>
      </w:r>
      <w:r>
        <w:rPr>
          <w:rStyle w:val="NormalCharacter"/>
          <w:rFonts w:ascii="楷体_GB2312" w:eastAsia="楷体_GB2312"/>
          <w:sz w:val="24"/>
        </w:rPr>
        <w:t>并聘请本学科3-5名副教授或相当专业技术职务或以上的专家，对开题报告进行评议。</w:t>
      </w:r>
      <w:r>
        <w:rPr>
          <w:rStyle w:val="NormalCharacter"/>
          <w:rFonts w:ascii="楷体_GB2312" w:eastAsia="楷体_GB2312" w:hAnsi="宋体"/>
          <w:sz w:val="24"/>
        </w:rPr>
        <w:t>评议小组对开题报告进行公开评议并提出修改意见后，才能进入正式撰写论文的阶段。论文选题一经评议确定后，一般不得任意更改。</w:t>
      </w:r>
      <w:r>
        <w:rPr>
          <w:rStyle w:val="NormalCharacter"/>
          <w:rFonts w:ascii="楷体_GB2312" w:eastAsia="楷体_GB2312"/>
          <w:sz w:val="24"/>
        </w:rPr>
        <w:t>如开题报告未通过，则在2-3个月内可补作选题报告，仍未通过，按有关规定处理。</w:t>
      </w:r>
    </w:p>
    <w:p w:rsidR="00EE35E9" w:rsidRDefault="00BB0F39">
      <w:pPr>
        <w:spacing w:line="360" w:lineRule="auto"/>
        <w:ind w:firstLineChars="200" w:firstLine="482"/>
        <w:rPr>
          <w:rStyle w:val="NormalCharacter"/>
          <w:rFonts w:ascii="楷体_GB2312" w:eastAsia="楷体_GB2312"/>
          <w:b/>
          <w:bCs/>
          <w:sz w:val="24"/>
        </w:rPr>
      </w:pPr>
      <w:r>
        <w:rPr>
          <w:rStyle w:val="NormalCharacter"/>
          <w:rFonts w:ascii="楷体_GB2312" w:eastAsia="楷体_GB2312"/>
          <w:b/>
          <w:bCs/>
          <w:sz w:val="24"/>
        </w:rPr>
        <w:t>3．学位论文中期检查和预答辩</w:t>
      </w:r>
    </w:p>
    <w:p w:rsidR="00EE35E9" w:rsidRDefault="00BB0F39">
      <w:pPr>
        <w:spacing w:line="360" w:lineRule="auto"/>
        <w:ind w:firstLine="495"/>
        <w:rPr>
          <w:rStyle w:val="NormalCharacter"/>
          <w:rFonts w:ascii="楷体_GB2312" w:eastAsia="楷体_GB2312"/>
          <w:bCs/>
          <w:sz w:val="24"/>
        </w:rPr>
      </w:pPr>
      <w:r>
        <w:rPr>
          <w:rStyle w:val="NormalCharacter"/>
          <w:rFonts w:ascii="楷体_GB2312" w:eastAsia="楷体_GB2312"/>
          <w:bCs/>
          <w:sz w:val="24"/>
        </w:rPr>
        <w:t>学位论文中期检查与预答辩主要是考核毕业学位论文进展和工作计划执行情况，是对研究生学位论文阶段性工作情况的全面考核，是保证论文质量的重要措施。学位论文中期检查在第四学期完成，预答辩在第五学期初完成。</w:t>
      </w:r>
    </w:p>
    <w:p w:rsidR="00EE35E9" w:rsidRDefault="00BB0F39">
      <w:pPr>
        <w:spacing w:line="360" w:lineRule="auto"/>
        <w:ind w:firstLine="495"/>
        <w:rPr>
          <w:rStyle w:val="NormalCharacter"/>
          <w:rFonts w:ascii="楷体_GB2312" w:eastAsia="楷体_GB2312"/>
          <w:bCs/>
          <w:sz w:val="24"/>
        </w:rPr>
      </w:pPr>
      <w:r>
        <w:rPr>
          <w:rStyle w:val="NormalCharacter"/>
          <w:rFonts w:ascii="楷体_GB2312" w:eastAsia="楷体_GB2312"/>
          <w:sz w:val="24"/>
        </w:rPr>
        <w:t>论文工作过程中，允许对工作计划作局部调整，但原则上不得随意改题，如确有特殊原因需改题者，须由研究生本人写出书面报告，导师签署意见后报所在学院备案，并及时重作开题报告。</w:t>
      </w:r>
    </w:p>
    <w:p w:rsidR="00EE35E9" w:rsidRDefault="00BB0F39">
      <w:pPr>
        <w:spacing w:line="360" w:lineRule="auto"/>
        <w:ind w:firstLineChars="200" w:firstLine="482"/>
        <w:rPr>
          <w:rStyle w:val="NormalCharacter"/>
          <w:rFonts w:ascii="楷体_GB2312" w:eastAsia="楷体_GB2312"/>
          <w:b/>
          <w:bCs/>
          <w:sz w:val="24"/>
        </w:rPr>
      </w:pPr>
      <w:r>
        <w:rPr>
          <w:rStyle w:val="NormalCharacter"/>
          <w:rFonts w:ascii="楷体_GB2312" w:eastAsia="楷体_GB2312"/>
          <w:b/>
          <w:bCs/>
          <w:sz w:val="24"/>
        </w:rPr>
        <w:t>4．论文评阅和答辩</w:t>
      </w:r>
    </w:p>
    <w:p w:rsidR="00EE35E9" w:rsidRDefault="00BB0F39">
      <w:pPr>
        <w:spacing w:line="360" w:lineRule="auto"/>
        <w:rPr>
          <w:rStyle w:val="NormalCharacter"/>
          <w:rFonts w:ascii="楷体_GB2312" w:eastAsia="楷体_GB2312"/>
          <w:bCs/>
          <w:sz w:val="24"/>
        </w:rPr>
      </w:pPr>
      <w:r>
        <w:rPr>
          <w:rStyle w:val="NormalCharacter"/>
          <w:rFonts w:ascii="楷体_GB2312" w:eastAsia="楷体_GB2312"/>
          <w:bCs/>
          <w:sz w:val="24"/>
        </w:rPr>
        <w:t xml:space="preserve">    论文评阅实行3名校外专家</w:t>
      </w:r>
      <w:r>
        <w:rPr>
          <w:rStyle w:val="NormalCharacter"/>
          <w:rFonts w:ascii="楷体_GB2312" w:eastAsia="楷体_GB2312"/>
          <w:bCs/>
          <w:sz w:val="24"/>
        </w:rPr>
        <w:t>“</w:t>
      </w:r>
      <w:r>
        <w:rPr>
          <w:rStyle w:val="NormalCharacter"/>
          <w:rFonts w:ascii="楷体_GB2312" w:eastAsia="楷体_GB2312"/>
          <w:bCs/>
          <w:sz w:val="24"/>
        </w:rPr>
        <w:t>双向隐名</w:t>
      </w:r>
      <w:r>
        <w:rPr>
          <w:rStyle w:val="NormalCharacter"/>
          <w:rFonts w:ascii="楷体_GB2312" w:eastAsia="楷体_GB2312"/>
          <w:bCs/>
          <w:sz w:val="24"/>
        </w:rPr>
        <w:t>”</w:t>
      </w:r>
      <w:r>
        <w:rPr>
          <w:rStyle w:val="NormalCharacter"/>
          <w:rFonts w:ascii="楷体_GB2312" w:eastAsia="楷体_GB2312"/>
          <w:bCs/>
          <w:sz w:val="24"/>
        </w:rPr>
        <w:t>通讯评阅的方式，研究生按照评阅专家的意见进行修改完善，经专家评阅通过后方可进入答辩程序。</w:t>
      </w:r>
    </w:p>
    <w:p w:rsidR="00EE35E9" w:rsidRDefault="00BB0F39">
      <w:pPr>
        <w:spacing w:line="360" w:lineRule="auto"/>
        <w:ind w:firstLine="480"/>
        <w:rPr>
          <w:rStyle w:val="NormalCharacter"/>
          <w:rFonts w:ascii="楷体_GB2312" w:eastAsia="楷体_GB2312"/>
          <w:sz w:val="24"/>
        </w:rPr>
      </w:pPr>
      <w:r>
        <w:rPr>
          <w:rStyle w:val="NormalCharacter"/>
          <w:rFonts w:ascii="楷体_GB2312" w:eastAsia="楷体_GB2312"/>
          <w:bCs/>
          <w:sz w:val="24"/>
        </w:rPr>
        <w:lastRenderedPageBreak/>
        <w:t>论文答辩通</w:t>
      </w:r>
      <w:r>
        <w:rPr>
          <w:rStyle w:val="NormalCharacter"/>
          <w:rFonts w:ascii="楷体_GB2312" w:eastAsia="楷体_GB2312"/>
          <w:sz w:val="24"/>
        </w:rPr>
        <w:t>过者方可取得硕士学位。答辩未通过者，则按学校相关规定申请后续重新答辩或自动放弃答辩。</w:t>
      </w:r>
    </w:p>
    <w:p w:rsidR="00EE35E9" w:rsidRDefault="00BB0F39">
      <w:pPr>
        <w:spacing w:line="360" w:lineRule="auto"/>
        <w:ind w:firstLine="480"/>
        <w:rPr>
          <w:rStyle w:val="NormalCharacter"/>
          <w:rFonts w:ascii="楷体_GB2312" w:eastAsia="楷体_GB2312"/>
          <w:sz w:val="24"/>
        </w:rPr>
      </w:pPr>
      <w:r>
        <w:rPr>
          <w:rStyle w:val="NormalCharacter"/>
          <w:rFonts w:ascii="楷体_GB2312" w:eastAsia="楷体_GB2312"/>
          <w:sz w:val="24"/>
        </w:rPr>
        <w:t>论文评阅人和答辩委员会成员中，应至少有1名具有高级教师职称的基础教育学校或中等职业技术教育学校教师或教学研究人员。</w:t>
      </w:r>
    </w:p>
    <w:p w:rsidR="00EE35E9" w:rsidRDefault="00BB0F39">
      <w:pPr>
        <w:spacing w:line="360" w:lineRule="auto"/>
        <w:rPr>
          <w:rStyle w:val="NormalCharacter"/>
          <w:rFonts w:ascii="楷体_GB2312" w:eastAsia="楷体_GB2312"/>
          <w:sz w:val="24"/>
        </w:rPr>
      </w:pPr>
      <w:r>
        <w:rPr>
          <w:rStyle w:val="NormalCharacter"/>
          <w:rFonts w:eastAsia="黑体"/>
          <w:b/>
          <w:bCs/>
          <w:sz w:val="28"/>
        </w:rPr>
        <w:t>七、学位授予</w:t>
      </w:r>
    </w:p>
    <w:p w:rsidR="00EE35E9" w:rsidRDefault="00BB0F39">
      <w:pPr>
        <w:spacing w:line="360" w:lineRule="auto"/>
        <w:ind w:firstLineChars="200" w:firstLine="480"/>
        <w:rPr>
          <w:rStyle w:val="NormalCharacter"/>
          <w:rFonts w:ascii="楷体_GB2312" w:eastAsia="楷体_GB2312"/>
          <w:bCs/>
          <w:sz w:val="24"/>
        </w:rPr>
      </w:pPr>
      <w:r>
        <w:rPr>
          <w:rStyle w:val="NormalCharacter"/>
          <w:rFonts w:ascii="楷体_GB2312" w:eastAsia="楷体_GB2312"/>
          <w:bCs/>
          <w:sz w:val="24"/>
        </w:rPr>
        <w:t>参照国务院学位委员会相关专业学位授予条例执行。研究生完成全部课程学习并修满规定学分、专业考核与专业实践考核成绩合格、论文答辩通过者，经学校学位评定委员会审核同意，可授予教育硕士专业学位，颁发教育硕士学位证书和硕士研究生毕业证书。</w:t>
      </w:r>
    </w:p>
    <w:p w:rsidR="00EE35E9" w:rsidRDefault="00BB0F39">
      <w:pPr>
        <w:spacing w:line="360" w:lineRule="auto"/>
        <w:jc w:val="left"/>
        <w:rPr>
          <w:rStyle w:val="NormalCharacter"/>
          <w:rFonts w:ascii="黑体" w:eastAsia="黑体"/>
          <w:b/>
          <w:sz w:val="28"/>
          <w:szCs w:val="28"/>
        </w:rPr>
      </w:pPr>
      <w:r>
        <w:rPr>
          <w:rStyle w:val="NormalCharacter"/>
          <w:rFonts w:ascii="黑体" w:eastAsia="黑体"/>
          <w:b/>
          <w:sz w:val="28"/>
          <w:szCs w:val="28"/>
        </w:rPr>
        <w:t>八、附则</w:t>
      </w:r>
    </w:p>
    <w:p w:rsidR="00EE35E9" w:rsidRDefault="00BB0F39">
      <w:pPr>
        <w:spacing w:line="360" w:lineRule="auto"/>
        <w:ind w:firstLineChars="200" w:firstLine="480"/>
        <w:jc w:val="left"/>
        <w:rPr>
          <w:rStyle w:val="NormalCharacter"/>
          <w:rFonts w:ascii="楷体_GB2312" w:eastAsia="楷体_GB2312" w:hAnsi="宋体"/>
          <w:sz w:val="24"/>
        </w:rPr>
      </w:pPr>
      <w:r>
        <w:rPr>
          <w:rStyle w:val="NormalCharacter"/>
          <w:rFonts w:ascii="楷体_GB2312" w:eastAsia="楷体_GB2312" w:hAnsi="宋体"/>
          <w:sz w:val="24"/>
        </w:rPr>
        <w:t>非师范类专业应届毕业生入学后，应至少补修3门教师教育课程（如教育学、心理学和学科教学论），不计学分。跨专业应届本科毕业生入学后，还应至少补修2门学科专业基础课，不计学分。</w:t>
      </w:r>
    </w:p>
    <w:p w:rsidR="00EE35E9" w:rsidRDefault="00EE35E9">
      <w:pPr>
        <w:snapToGrid w:val="0"/>
        <w:ind w:firstLineChars="200" w:firstLine="480"/>
        <w:rPr>
          <w:rStyle w:val="NormalCharacter"/>
          <w:rFonts w:ascii="楷体_GB2312" w:eastAsia="楷体_GB2312"/>
          <w:sz w:val="24"/>
        </w:rPr>
      </w:pPr>
    </w:p>
    <w:p w:rsidR="00EE35E9" w:rsidRDefault="00EE35E9">
      <w:pPr>
        <w:snapToGrid w:val="0"/>
        <w:spacing w:line="360" w:lineRule="auto"/>
        <w:ind w:firstLineChars="200" w:firstLine="480"/>
        <w:rPr>
          <w:rStyle w:val="NormalCharacter"/>
          <w:rFonts w:ascii="楷体_GB2312" w:eastAsia="楷体_GB2312"/>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EE35E9">
      <w:pPr>
        <w:spacing w:line="360" w:lineRule="auto"/>
        <w:jc w:val="center"/>
        <w:rPr>
          <w:rStyle w:val="NormalCharacter"/>
          <w:rFonts w:eastAsia="黑体"/>
          <w:b/>
          <w:bCs/>
          <w:sz w:val="24"/>
        </w:rPr>
      </w:pPr>
    </w:p>
    <w:p w:rsidR="00EE35E9" w:rsidRDefault="00BB0F39">
      <w:pPr>
        <w:spacing w:line="320" w:lineRule="exact"/>
        <w:ind w:left="284"/>
        <w:rPr>
          <w:rStyle w:val="NormalCharacter"/>
          <w:rFonts w:ascii="Calibri" w:eastAsia="黑体" w:hAnsi="Calibri"/>
          <w:b/>
          <w:bCs/>
          <w:sz w:val="24"/>
        </w:rPr>
      </w:pPr>
      <w:r>
        <w:rPr>
          <w:rStyle w:val="NormalCharacter"/>
          <w:rFonts w:ascii="Calibri" w:eastAsia="黑体" w:hAnsi="Calibri"/>
          <w:b/>
          <w:bCs/>
          <w:sz w:val="24"/>
        </w:rPr>
        <w:t>附表：</w:t>
      </w:r>
    </w:p>
    <w:p w:rsidR="00EE35E9" w:rsidRDefault="00BB0F39">
      <w:pPr>
        <w:spacing w:line="320" w:lineRule="exact"/>
        <w:ind w:left="284"/>
        <w:jc w:val="center"/>
        <w:rPr>
          <w:rStyle w:val="NormalCharacter"/>
          <w:rFonts w:ascii="Calibri" w:eastAsia="黑体" w:hAnsi="Calibri"/>
          <w:b/>
          <w:bCs/>
          <w:sz w:val="24"/>
        </w:rPr>
      </w:pPr>
      <w:r>
        <w:rPr>
          <w:rStyle w:val="NormalCharacter"/>
          <w:rFonts w:ascii="Calibri" w:eastAsia="黑体" w:hAnsi="Calibri"/>
          <w:b/>
          <w:bCs/>
          <w:sz w:val="24"/>
        </w:rPr>
        <w:t>全日制专业学位硕士研究生课程设置和教学计划</w:t>
      </w:r>
    </w:p>
    <w:p w:rsidR="001B43C0" w:rsidRDefault="001B43C0">
      <w:pPr>
        <w:spacing w:line="320" w:lineRule="exact"/>
        <w:ind w:left="284"/>
        <w:jc w:val="center"/>
        <w:rPr>
          <w:rStyle w:val="NormalCharacter"/>
          <w:rFonts w:ascii="Calibri" w:eastAsia="黑体" w:hAnsi="Calibri"/>
          <w:b/>
          <w:bCs/>
          <w:sz w:val="24"/>
        </w:rPr>
      </w:pPr>
    </w:p>
    <w:tbl>
      <w:tblPr>
        <w:tblW w:w="9724"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0" w:type="dxa"/>
          <w:right w:w="0" w:type="dxa"/>
        </w:tblCellMar>
        <w:tblLook w:val="07E0" w:firstRow="1" w:lastRow="1" w:firstColumn="1" w:lastColumn="1" w:noHBand="1" w:noVBand="1"/>
      </w:tblPr>
      <w:tblGrid>
        <w:gridCol w:w="406"/>
        <w:gridCol w:w="1188"/>
        <w:gridCol w:w="2584"/>
        <w:gridCol w:w="567"/>
        <w:gridCol w:w="530"/>
        <w:gridCol w:w="580"/>
        <w:gridCol w:w="425"/>
        <w:gridCol w:w="425"/>
        <w:gridCol w:w="148"/>
        <w:gridCol w:w="277"/>
        <w:gridCol w:w="426"/>
        <w:gridCol w:w="425"/>
        <w:gridCol w:w="425"/>
        <w:gridCol w:w="169"/>
        <w:gridCol w:w="488"/>
        <w:gridCol w:w="661"/>
      </w:tblGrid>
      <w:tr w:rsidR="00EE35E9">
        <w:trPr>
          <w:trHeight w:val="397"/>
          <w:jc w:val="center"/>
        </w:trPr>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学院名称</w:t>
            </w:r>
          </w:p>
        </w:tc>
        <w:tc>
          <w:tcPr>
            <w:tcW w:w="5259" w:type="dxa"/>
            <w:gridSpan w:val="7"/>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kern w:val="0"/>
                <w:sz w:val="18"/>
                <w:szCs w:val="18"/>
              </w:rPr>
              <w:t>沈钧儒法学院</w:t>
            </w:r>
          </w:p>
        </w:tc>
        <w:tc>
          <w:tcPr>
            <w:tcW w:w="1722" w:type="dxa"/>
            <w:gridSpan w:val="5"/>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专业名称及代码</w:t>
            </w:r>
          </w:p>
        </w:tc>
        <w:tc>
          <w:tcPr>
            <w:tcW w:w="1149"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kern w:val="0"/>
                <w:sz w:val="18"/>
                <w:szCs w:val="18"/>
              </w:rPr>
            </w:pPr>
            <w:r>
              <w:rPr>
                <w:rStyle w:val="NormalCharacter"/>
                <w:kern w:val="0"/>
                <w:sz w:val="18"/>
                <w:szCs w:val="18"/>
              </w:rPr>
              <w:t>学科教学（思政）</w:t>
            </w:r>
            <w:r>
              <w:rPr>
                <w:rStyle w:val="NormalCharacter"/>
                <w:kern w:val="0"/>
                <w:sz w:val="18"/>
                <w:szCs w:val="18"/>
              </w:rPr>
              <w:t>045102</w:t>
            </w:r>
          </w:p>
        </w:tc>
      </w:tr>
      <w:tr w:rsidR="00EE35E9">
        <w:trPr>
          <w:trHeight w:val="397"/>
          <w:jc w:val="center"/>
        </w:trPr>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研究方向</w:t>
            </w:r>
          </w:p>
        </w:tc>
        <w:tc>
          <w:tcPr>
            <w:tcW w:w="5259" w:type="dxa"/>
            <w:gridSpan w:val="7"/>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kern w:val="0"/>
                <w:sz w:val="18"/>
                <w:szCs w:val="18"/>
              </w:rPr>
              <w:t>法治教育</w:t>
            </w:r>
          </w:p>
        </w:tc>
        <w:tc>
          <w:tcPr>
            <w:tcW w:w="1722" w:type="dxa"/>
            <w:gridSpan w:val="5"/>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kern w:val="0"/>
                <w:sz w:val="18"/>
                <w:szCs w:val="18"/>
              </w:rPr>
            </w:pPr>
            <w:r>
              <w:rPr>
                <w:rStyle w:val="NormalCharacter"/>
                <w:rFonts w:ascii="宋体" w:eastAsia="微软雅黑" w:hAnsi="宋体"/>
                <w:b/>
                <w:bCs/>
                <w:kern w:val="0"/>
                <w:sz w:val="18"/>
                <w:szCs w:val="18"/>
              </w:rPr>
              <w:t>导师组负责人</w:t>
            </w:r>
          </w:p>
        </w:tc>
        <w:tc>
          <w:tcPr>
            <w:tcW w:w="1149"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kern w:val="0"/>
                <w:sz w:val="18"/>
                <w:szCs w:val="18"/>
              </w:rPr>
            </w:pPr>
            <w:r>
              <w:rPr>
                <w:rStyle w:val="NormalCharacter"/>
                <w:kern w:val="0"/>
                <w:sz w:val="18"/>
                <w:szCs w:val="18"/>
              </w:rPr>
              <w:t>张国华</w:t>
            </w:r>
          </w:p>
        </w:tc>
      </w:tr>
      <w:tr w:rsidR="00EE35E9">
        <w:trPr>
          <w:cantSplit/>
          <w:trHeight w:val="517"/>
          <w:jc w:val="center"/>
        </w:trPr>
        <w:tc>
          <w:tcPr>
            <w:tcW w:w="406"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ˎ̥" w:eastAsia="微软雅黑" w:hAnsi="宋体"/>
                <w:b/>
                <w:bCs/>
                <w:kern w:val="0"/>
                <w:sz w:val="18"/>
                <w:szCs w:val="18"/>
              </w:rPr>
              <w:t>类别</w:t>
            </w: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课程编码</w:t>
            </w:r>
          </w:p>
        </w:tc>
        <w:tc>
          <w:tcPr>
            <w:tcW w:w="2584"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课程名称</w:t>
            </w:r>
          </w:p>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w:t>
            </w:r>
            <w:r>
              <w:rPr>
                <w:rStyle w:val="NormalCharacter"/>
                <w:rFonts w:ascii="宋体" w:eastAsia="微软雅黑" w:hAnsi="宋体"/>
                <w:b/>
                <w:bCs/>
                <w:kern w:val="0"/>
                <w:sz w:val="18"/>
                <w:szCs w:val="18"/>
              </w:rPr>
              <w:t>中、英文</w:t>
            </w:r>
            <w:r>
              <w:rPr>
                <w:rStyle w:val="NormalCharacter"/>
                <w:rFonts w:ascii="宋体" w:eastAsia="微软雅黑" w:hAnsi="宋体"/>
                <w:b/>
                <w:bCs/>
                <w:kern w:val="0"/>
                <w:sz w:val="18"/>
                <w:szCs w:val="18"/>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周</w:t>
            </w:r>
          </w:p>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学时</w:t>
            </w:r>
          </w:p>
        </w:tc>
        <w:tc>
          <w:tcPr>
            <w:tcW w:w="530"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总</w:t>
            </w:r>
          </w:p>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学时</w:t>
            </w:r>
          </w:p>
        </w:tc>
        <w:tc>
          <w:tcPr>
            <w:tcW w:w="580"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学</w:t>
            </w:r>
          </w:p>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分</w:t>
            </w:r>
          </w:p>
        </w:tc>
        <w:tc>
          <w:tcPr>
            <w:tcW w:w="2551" w:type="dxa"/>
            <w:gridSpan w:val="7"/>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各学期安排</w:t>
            </w:r>
          </w:p>
        </w:tc>
        <w:tc>
          <w:tcPr>
            <w:tcW w:w="657" w:type="dxa"/>
            <w:gridSpan w:val="2"/>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考核</w:t>
            </w:r>
          </w:p>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方式</w:t>
            </w:r>
          </w:p>
        </w:tc>
        <w:tc>
          <w:tcPr>
            <w:tcW w:w="661"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备注</w:t>
            </w:r>
          </w:p>
        </w:tc>
      </w:tr>
      <w:tr w:rsidR="00EE35E9">
        <w:trPr>
          <w:cantSplit/>
          <w:trHeight w:val="525"/>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2584"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530"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580"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宋体" w:eastAsia="微软雅黑" w:hAnsi="宋体"/>
                <w:sz w:val="18"/>
                <w:szCs w:val="18"/>
              </w:rPr>
              <w:t>Ⅰ</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宋体" w:eastAsia="微软雅黑" w:hAnsi="宋体"/>
                <w:sz w:val="18"/>
                <w:szCs w:val="18"/>
              </w:rPr>
              <w:t>Ⅱ</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宋体" w:eastAsia="微软雅黑" w:hAnsi="宋体"/>
                <w:sz w:val="18"/>
                <w:szCs w:val="18"/>
              </w:rPr>
              <w:t>Ⅲ</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宋体" w:eastAsia="微软雅黑" w:hAnsi="宋体"/>
                <w:sz w:val="18"/>
                <w:szCs w:val="18"/>
              </w:rPr>
              <w:t>Ⅳ</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Calibri" w:eastAsia="微软雅黑" w:hAnsi="Calibri"/>
                <w:sz w:val="18"/>
                <w:szCs w:val="18"/>
              </w:rPr>
              <w:t>Ⅴ</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rFonts w:ascii="Calibri" w:eastAsia="微软雅黑" w:hAnsi="Calibri"/>
                <w:sz w:val="18"/>
                <w:szCs w:val="18"/>
              </w:rPr>
            </w:pPr>
            <w:r>
              <w:rPr>
                <w:rStyle w:val="NormalCharacter"/>
                <w:rFonts w:ascii="Calibri" w:eastAsia="微软雅黑" w:hAnsi="Calibri"/>
                <w:sz w:val="18"/>
                <w:szCs w:val="18"/>
              </w:rPr>
              <w:t>Ⅵ</w:t>
            </w:r>
          </w:p>
        </w:tc>
        <w:tc>
          <w:tcPr>
            <w:tcW w:w="657" w:type="dxa"/>
            <w:gridSpan w:val="2"/>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r>
      <w:tr w:rsidR="00EE35E9">
        <w:trPr>
          <w:trHeight w:val="645"/>
          <w:jc w:val="center"/>
        </w:trPr>
        <w:tc>
          <w:tcPr>
            <w:tcW w:w="406" w:type="dxa"/>
            <w:vMerge w:val="restart"/>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学</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位</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基</w:t>
            </w:r>
          </w:p>
          <w:p w:rsidR="00EE35E9" w:rsidRDefault="00BB0F39">
            <w:pPr>
              <w:snapToGrid w:val="0"/>
              <w:spacing w:line="240" w:lineRule="exact"/>
              <w:jc w:val="center"/>
              <w:rPr>
                <w:rStyle w:val="NormalCharacter"/>
                <w:rFonts w:ascii="宋体" w:eastAsia="微软雅黑" w:hAnsi="宋体"/>
                <w:b/>
                <w:bCs/>
                <w:kern w:val="0"/>
                <w:sz w:val="18"/>
                <w:szCs w:val="18"/>
              </w:rPr>
            </w:pPr>
            <w:proofErr w:type="gramStart"/>
            <w:r>
              <w:rPr>
                <w:rStyle w:val="NormalCharacter"/>
                <w:rFonts w:ascii="宋体" w:eastAsia="微软雅黑" w:hAnsi="宋体"/>
                <w:b/>
                <w:bCs/>
                <w:kern w:val="0"/>
                <w:sz w:val="18"/>
                <w:szCs w:val="18"/>
              </w:rPr>
              <w:t>础</w:t>
            </w:r>
            <w:proofErr w:type="gramEnd"/>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课</w:t>
            </w: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rsidP="00A641A5">
            <w:pPr>
              <w:snapToGrid w:val="0"/>
              <w:spacing w:line="240" w:lineRule="exact"/>
              <w:ind w:firstLineChars="100" w:firstLine="180"/>
              <w:rPr>
                <w:rStyle w:val="NormalCharacter"/>
                <w:rFonts w:ascii="宋体" w:eastAsia="微软雅黑" w:hAnsi="宋体"/>
                <w:kern w:val="0"/>
                <w:sz w:val="18"/>
                <w:szCs w:val="18"/>
              </w:rPr>
            </w:pPr>
            <w:r>
              <w:rPr>
                <w:rStyle w:val="NormalCharacter"/>
                <w:rFonts w:ascii="宋体" w:eastAsia="微软雅黑" w:hAnsi="宋体"/>
                <w:kern w:val="0"/>
                <w:sz w:val="18"/>
                <w:szCs w:val="18"/>
              </w:rPr>
              <w:t>999010100</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硕士生英语</w:t>
            </w:r>
          </w:p>
          <w:p w:rsidR="00EE35E9" w:rsidRDefault="00BB0F39">
            <w:pPr>
              <w:snapToGrid w:val="0"/>
              <w:spacing w:line="240" w:lineRule="exact"/>
              <w:jc w:val="left"/>
              <w:rPr>
                <w:rStyle w:val="NormalCharacter"/>
                <w:kern w:val="0"/>
                <w:sz w:val="18"/>
                <w:szCs w:val="18"/>
              </w:rPr>
            </w:pPr>
            <w:r>
              <w:rPr>
                <w:rStyle w:val="NormalCharacter"/>
                <w:kern w:val="0"/>
                <w:sz w:val="18"/>
                <w:szCs w:val="18"/>
              </w:rPr>
              <w:t>English for Postgraduate</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rsidP="00A641A5">
            <w:pPr>
              <w:snapToGrid w:val="0"/>
              <w:spacing w:line="240" w:lineRule="exac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修13学分</w:t>
            </w:r>
          </w:p>
        </w:tc>
      </w:tr>
      <w:tr w:rsidR="00EE35E9">
        <w:trPr>
          <w:trHeight w:val="810"/>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kern w:val="0"/>
                <w:sz w:val="18"/>
                <w:szCs w:val="18"/>
              </w:rPr>
            </w:pPr>
            <w:r>
              <w:rPr>
                <w:rStyle w:val="NormalCharacter"/>
                <w:rFonts w:ascii="宋体" w:eastAsia="微软雅黑" w:hAnsi="宋体"/>
                <w:sz w:val="18"/>
                <w:szCs w:val="18"/>
              </w:rPr>
              <w:t>9990101005</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马克思主义与社会科学方法论</w:t>
            </w:r>
          </w:p>
          <w:p w:rsidR="00EE35E9" w:rsidRDefault="00BB0F39">
            <w:pPr>
              <w:snapToGrid w:val="0"/>
              <w:spacing w:line="240" w:lineRule="exact"/>
              <w:jc w:val="left"/>
              <w:rPr>
                <w:rStyle w:val="NormalCharacter"/>
                <w:kern w:val="0"/>
                <w:sz w:val="18"/>
                <w:szCs w:val="18"/>
              </w:rPr>
            </w:pPr>
            <w:r>
              <w:rPr>
                <w:rStyle w:val="NormalCharacter"/>
                <w:kern w:val="0"/>
                <w:sz w:val="18"/>
                <w:szCs w:val="18"/>
              </w:rPr>
              <w:t xml:space="preserve">Marxism and Methodology of Social Science </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1</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16</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1305"/>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kern w:val="0"/>
                <w:sz w:val="18"/>
                <w:szCs w:val="18"/>
              </w:rPr>
            </w:pPr>
            <w:r>
              <w:rPr>
                <w:rStyle w:val="NormalCharacter"/>
                <w:rFonts w:ascii="宋体" w:eastAsia="微软雅黑" w:hAnsi="宋体"/>
                <w:sz w:val="18"/>
                <w:szCs w:val="18"/>
              </w:rPr>
              <w:t>9990201006</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新时代中国特色社会主义理论与实践研究</w:t>
            </w:r>
          </w:p>
          <w:p w:rsidR="00EE35E9" w:rsidRDefault="00BB0F39">
            <w:pPr>
              <w:snapToGrid w:val="0"/>
              <w:spacing w:line="240" w:lineRule="exact"/>
              <w:jc w:val="left"/>
              <w:rPr>
                <w:rStyle w:val="NormalCharacter"/>
                <w:kern w:val="0"/>
                <w:sz w:val="18"/>
                <w:szCs w:val="18"/>
              </w:rPr>
            </w:pPr>
            <w:r>
              <w:rPr>
                <w:rStyle w:val="NormalCharacter"/>
                <w:kern w:val="0"/>
                <w:sz w:val="18"/>
                <w:szCs w:val="18"/>
              </w:rPr>
              <w:t xml:space="preserve">Theory and Practice of Socialism with Chinese Characteristics </w:t>
            </w:r>
            <w:r>
              <w:rPr>
                <w:rStyle w:val="NormalCharacter"/>
                <w:bCs/>
                <w:sz w:val="18"/>
                <w:szCs w:val="18"/>
              </w:rPr>
              <w:t>in the New Era</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16</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60" w:lineRule="auto"/>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rsidP="00A641A5">
            <w:pPr>
              <w:snapToGrid w:val="0"/>
              <w:spacing w:line="240" w:lineRule="exac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615"/>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kern w:val="0"/>
                <w:sz w:val="18"/>
                <w:szCs w:val="18"/>
              </w:rPr>
            </w:pPr>
            <w:r>
              <w:rPr>
                <w:rStyle w:val="NormalCharacter"/>
                <w:rFonts w:ascii="宋体" w:eastAsia="微软雅黑" w:hAnsi="宋体"/>
                <w:sz w:val="18"/>
                <w:szCs w:val="18"/>
              </w:rPr>
              <w:t>9990101014</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教育原理</w:t>
            </w:r>
          </w:p>
          <w:p w:rsidR="00EE35E9" w:rsidRDefault="00BB0F39">
            <w:pPr>
              <w:snapToGrid w:val="0"/>
              <w:spacing w:line="240" w:lineRule="exact"/>
              <w:jc w:val="left"/>
              <w:rPr>
                <w:rStyle w:val="NormalCharacter"/>
                <w:kern w:val="0"/>
                <w:sz w:val="18"/>
                <w:szCs w:val="18"/>
              </w:rPr>
            </w:pPr>
            <w:r>
              <w:rPr>
                <w:rStyle w:val="NormalCharacter"/>
                <w:kern w:val="0"/>
                <w:sz w:val="18"/>
                <w:szCs w:val="18"/>
              </w:rPr>
              <w:t>Principles of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810"/>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kern w:val="0"/>
                <w:sz w:val="18"/>
                <w:szCs w:val="18"/>
              </w:rPr>
            </w:pPr>
            <w:r>
              <w:rPr>
                <w:rStyle w:val="NormalCharacter"/>
                <w:rFonts w:ascii="宋体" w:eastAsia="微软雅黑" w:hAnsi="宋体"/>
                <w:sz w:val="18"/>
                <w:szCs w:val="18"/>
              </w:rPr>
              <w:t>9990101008</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课程与教学论</w:t>
            </w:r>
          </w:p>
          <w:p w:rsidR="00EE35E9" w:rsidRDefault="00BB0F39">
            <w:pPr>
              <w:snapToGrid w:val="0"/>
              <w:spacing w:line="240" w:lineRule="exact"/>
              <w:jc w:val="left"/>
              <w:rPr>
                <w:rStyle w:val="NormalCharacter"/>
                <w:kern w:val="0"/>
                <w:sz w:val="18"/>
                <w:szCs w:val="18"/>
              </w:rPr>
            </w:pPr>
            <w:r>
              <w:rPr>
                <w:rStyle w:val="NormalCharacter"/>
                <w:kern w:val="0"/>
                <w:sz w:val="18"/>
                <w:szCs w:val="18"/>
              </w:rPr>
              <w:t>The Curriculum and Teaching Theory</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675"/>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sz w:val="18"/>
                <w:szCs w:val="18"/>
              </w:rPr>
            </w:pPr>
            <w:r>
              <w:rPr>
                <w:rStyle w:val="NormalCharacter"/>
                <w:rFonts w:ascii="宋体" w:eastAsia="微软雅黑" w:hAnsi="宋体"/>
                <w:sz w:val="18"/>
                <w:szCs w:val="18"/>
              </w:rPr>
              <w:t>9990101009</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教育研究方法</w:t>
            </w:r>
          </w:p>
          <w:p w:rsidR="00EE35E9" w:rsidRDefault="00BB0F39">
            <w:pPr>
              <w:snapToGrid w:val="0"/>
              <w:spacing w:line="240" w:lineRule="exact"/>
              <w:jc w:val="left"/>
              <w:rPr>
                <w:rStyle w:val="NormalCharacter"/>
                <w:kern w:val="0"/>
                <w:sz w:val="18"/>
                <w:szCs w:val="18"/>
              </w:rPr>
            </w:pPr>
            <w:r>
              <w:rPr>
                <w:rStyle w:val="NormalCharacter"/>
                <w:kern w:val="0"/>
                <w:sz w:val="18"/>
                <w:szCs w:val="18"/>
              </w:rPr>
              <w:t>Research Methods in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780"/>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kern w:val="0"/>
                <w:sz w:val="18"/>
                <w:szCs w:val="18"/>
              </w:rPr>
            </w:pPr>
            <w:r>
              <w:rPr>
                <w:rStyle w:val="NormalCharacter"/>
                <w:rFonts w:ascii="宋体" w:eastAsia="微软雅黑" w:hAnsi="宋体"/>
                <w:sz w:val="18"/>
                <w:szCs w:val="18"/>
              </w:rPr>
              <w:t>9990101015</w:t>
            </w: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心理发展与教育</w:t>
            </w:r>
          </w:p>
          <w:p w:rsidR="00EE35E9" w:rsidRDefault="00BB0F39">
            <w:pPr>
              <w:snapToGrid w:val="0"/>
              <w:spacing w:line="240" w:lineRule="exact"/>
              <w:jc w:val="left"/>
              <w:rPr>
                <w:rStyle w:val="NormalCharacter"/>
                <w:kern w:val="0"/>
                <w:sz w:val="18"/>
                <w:szCs w:val="18"/>
              </w:rPr>
            </w:pPr>
            <w:r>
              <w:rPr>
                <w:rStyle w:val="NormalCharacter"/>
                <w:kern w:val="0"/>
                <w:sz w:val="18"/>
                <w:szCs w:val="18"/>
              </w:rPr>
              <w:t>Psychological Development and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60" w:lineRule="auto"/>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1020"/>
          <w:jc w:val="center"/>
        </w:trPr>
        <w:tc>
          <w:tcPr>
            <w:tcW w:w="406" w:type="dxa"/>
            <w:vMerge w:val="restart"/>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专</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业</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必</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修</w:t>
            </w:r>
          </w:p>
          <w:p w:rsidR="00EE35E9" w:rsidRDefault="00BB0F39">
            <w:pPr>
              <w:snapToGrid w:val="0"/>
              <w:spacing w:line="240" w:lineRule="exact"/>
              <w:jc w:val="center"/>
              <w:rPr>
                <w:rStyle w:val="NormalCharacter"/>
                <w:rFonts w:ascii="宋体" w:eastAsia="微软雅黑" w:hAnsi="宋体"/>
                <w:b/>
                <w:bCs/>
                <w:kern w:val="0"/>
                <w:sz w:val="18"/>
                <w:szCs w:val="18"/>
              </w:rPr>
            </w:pPr>
            <w:r>
              <w:rPr>
                <w:rStyle w:val="NormalCharacter"/>
                <w:rFonts w:ascii="宋体" w:eastAsia="微软雅黑" w:hAnsi="宋体"/>
                <w:b/>
                <w:bCs/>
                <w:kern w:val="0"/>
                <w:sz w:val="18"/>
                <w:szCs w:val="18"/>
              </w:rPr>
              <w:t>课</w:t>
            </w: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00" w:lineRule="auto"/>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思想政治课程与教材研究</w:t>
            </w:r>
            <w:r>
              <w:rPr>
                <w:rStyle w:val="NormalCharacter"/>
                <w:kern w:val="0"/>
                <w:sz w:val="18"/>
                <w:szCs w:val="18"/>
              </w:rPr>
              <w:t>*</w:t>
            </w:r>
          </w:p>
          <w:p w:rsidR="00EE35E9" w:rsidRDefault="00BB0F39">
            <w:pPr>
              <w:snapToGrid w:val="0"/>
              <w:spacing w:line="240" w:lineRule="exact"/>
              <w:jc w:val="left"/>
              <w:rPr>
                <w:rStyle w:val="NormalCharacter"/>
                <w:kern w:val="0"/>
                <w:sz w:val="18"/>
                <w:szCs w:val="18"/>
              </w:rPr>
            </w:pPr>
            <w:r>
              <w:rPr>
                <w:rStyle w:val="NormalCharacter"/>
                <w:kern w:val="0"/>
                <w:sz w:val="18"/>
                <w:szCs w:val="18"/>
              </w:rPr>
              <w:t xml:space="preserve">Seminars on Courses and Textbooks in Ideology &amp; Politics </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val="restart"/>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rPr>
                <w:rStyle w:val="NormalCharacter"/>
                <w:rFonts w:ascii="宋体" w:hAnsi="宋体"/>
                <w:kern w:val="0"/>
                <w:sz w:val="18"/>
                <w:szCs w:val="18"/>
              </w:rPr>
            </w:pPr>
            <w:r>
              <w:rPr>
                <w:rStyle w:val="NormalCharacter"/>
                <w:rFonts w:ascii="宋体" w:hAnsi="宋体"/>
                <w:kern w:val="0"/>
                <w:sz w:val="18"/>
                <w:szCs w:val="18"/>
              </w:rPr>
              <w:t>修10学分,带</w:t>
            </w:r>
          </w:p>
          <w:p w:rsidR="00EE35E9" w:rsidRDefault="00BB0F39">
            <w:pPr>
              <w:snapToGrid w:val="0"/>
              <w:spacing w:line="240" w:lineRule="exact"/>
              <w:rPr>
                <w:rStyle w:val="NormalCharacter"/>
                <w:rFonts w:ascii="宋体" w:hAnsi="宋体"/>
                <w:kern w:val="0"/>
                <w:sz w:val="18"/>
                <w:szCs w:val="18"/>
              </w:rPr>
            </w:pPr>
            <w:r>
              <w:rPr>
                <w:rStyle w:val="NormalCharacter"/>
                <w:rFonts w:ascii="宋体" w:hAnsi="宋体"/>
                <w:kern w:val="0"/>
                <w:sz w:val="18"/>
                <w:szCs w:val="18"/>
              </w:rPr>
              <w:t>*号是双师课程</w:t>
            </w:r>
          </w:p>
        </w:tc>
      </w:tr>
      <w:tr w:rsidR="00EE35E9">
        <w:trPr>
          <w:trHeight w:val="1055"/>
          <w:jc w:val="center"/>
        </w:trPr>
        <w:tc>
          <w:tcPr>
            <w:tcW w:w="406"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kern w:val="0"/>
                <w:sz w:val="18"/>
                <w:szCs w:val="18"/>
              </w:rPr>
            </w:pPr>
            <w:r>
              <w:rPr>
                <w:rStyle w:val="NormalCharacter"/>
                <w:kern w:val="0"/>
                <w:sz w:val="18"/>
                <w:szCs w:val="18"/>
              </w:rPr>
              <w:t>思想政治教学设计与实施</w:t>
            </w:r>
            <w:r>
              <w:rPr>
                <w:rStyle w:val="NormalCharacter"/>
                <w:kern w:val="0"/>
                <w:sz w:val="18"/>
                <w:szCs w:val="18"/>
              </w:rPr>
              <w:t>*</w:t>
            </w:r>
          </w:p>
          <w:p w:rsidR="00EE35E9" w:rsidRDefault="00BB0F39">
            <w:pPr>
              <w:snapToGrid w:val="0"/>
              <w:spacing w:line="240" w:lineRule="exact"/>
              <w:jc w:val="left"/>
              <w:rPr>
                <w:rStyle w:val="NormalCharacter"/>
                <w:kern w:val="0"/>
                <w:sz w:val="18"/>
                <w:szCs w:val="18"/>
              </w:rPr>
            </w:pPr>
            <w:r>
              <w:rPr>
                <w:rStyle w:val="NormalCharacter"/>
                <w:kern w:val="0"/>
                <w:sz w:val="18"/>
                <w:szCs w:val="18"/>
              </w:rPr>
              <w:t>Teaching Design and Implementation of Ideological &amp; Political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685"/>
          <w:jc w:val="center"/>
        </w:trPr>
        <w:tc>
          <w:tcPr>
            <w:tcW w:w="406"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法学基础理论</w:t>
            </w:r>
          </w:p>
          <w:p w:rsidR="00EE35E9" w:rsidRDefault="00BB0F39">
            <w:pPr>
              <w:snapToGrid w:val="0"/>
              <w:spacing w:line="240" w:lineRule="exact"/>
              <w:rPr>
                <w:rStyle w:val="NormalCharacter"/>
                <w:kern w:val="0"/>
                <w:sz w:val="18"/>
                <w:szCs w:val="18"/>
              </w:rPr>
            </w:pPr>
            <w:r>
              <w:rPr>
                <w:rStyle w:val="NormalCharacter"/>
                <w:kern w:val="0"/>
                <w:sz w:val="18"/>
                <w:szCs w:val="18"/>
              </w:rPr>
              <w:t>Basic Theories of Law</w:t>
            </w:r>
          </w:p>
        </w:tc>
        <w:tc>
          <w:tcPr>
            <w:tcW w:w="567"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600"/>
          <w:jc w:val="center"/>
        </w:trPr>
        <w:tc>
          <w:tcPr>
            <w:tcW w:w="406"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德育与班级管理</w:t>
            </w:r>
          </w:p>
          <w:p w:rsidR="00EE35E9" w:rsidRDefault="00C02E13">
            <w:pPr>
              <w:snapToGrid w:val="0"/>
              <w:spacing w:line="240" w:lineRule="exact"/>
              <w:rPr>
                <w:rStyle w:val="NormalCharacter"/>
                <w:kern w:val="0"/>
                <w:sz w:val="18"/>
                <w:szCs w:val="18"/>
              </w:rPr>
            </w:pPr>
            <w:r>
              <w:rPr>
                <w:rStyle w:val="NormalCharacter"/>
                <w:kern w:val="0"/>
                <w:sz w:val="20"/>
                <w:szCs w:val="18"/>
              </w:rPr>
              <w:t>Moral Education and Class Management</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975"/>
          <w:jc w:val="center"/>
        </w:trPr>
        <w:tc>
          <w:tcPr>
            <w:tcW w:w="406" w:type="dxa"/>
            <w:vMerge/>
            <w:tcBorders>
              <w:top w:val="nil"/>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bCs/>
                <w:kern w:val="0"/>
                <w:sz w:val="18"/>
                <w:szCs w:val="18"/>
              </w:rPr>
            </w:pP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300" w:lineRule="auto"/>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马克思主义经典著作选读</w:t>
            </w:r>
          </w:p>
          <w:p w:rsidR="00EE35E9" w:rsidRDefault="00BB0F39">
            <w:pPr>
              <w:snapToGrid w:val="0"/>
              <w:spacing w:line="240" w:lineRule="exact"/>
              <w:rPr>
                <w:rStyle w:val="NormalCharacter"/>
                <w:kern w:val="0"/>
                <w:sz w:val="18"/>
                <w:szCs w:val="18"/>
              </w:rPr>
            </w:pPr>
            <w:r>
              <w:rPr>
                <w:rStyle w:val="NormalCharacter"/>
                <w:kern w:val="0"/>
                <w:sz w:val="18"/>
                <w:szCs w:val="18"/>
              </w:rPr>
              <w:t>Selected Readings of Marxism Classics</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left"/>
              <w:rPr>
                <w:rStyle w:val="NormalCharacter"/>
                <w:rFonts w:ascii="宋体" w:eastAsia="微软雅黑"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left"/>
              <w:rPr>
                <w:rStyle w:val="NormalCharacter"/>
                <w:rFonts w:ascii="宋体" w:hAnsi="宋体"/>
                <w:kern w:val="0"/>
                <w:sz w:val="18"/>
                <w:szCs w:val="18"/>
              </w:rPr>
            </w:pPr>
            <w:r>
              <w:rPr>
                <w:rStyle w:val="NormalCharacter"/>
                <w:rFonts w:ascii="宋体" w:hAnsi="宋体"/>
                <w:kern w:val="0"/>
                <w:sz w:val="18"/>
                <w:szCs w:val="18"/>
              </w:rPr>
              <w:t>考试</w:t>
            </w:r>
          </w:p>
        </w:tc>
        <w:tc>
          <w:tcPr>
            <w:tcW w:w="661"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hAnsi="宋体"/>
                <w:kern w:val="0"/>
                <w:sz w:val="18"/>
                <w:szCs w:val="18"/>
              </w:rPr>
            </w:pPr>
          </w:p>
        </w:tc>
      </w:tr>
      <w:tr w:rsidR="00EE35E9">
        <w:trPr>
          <w:trHeight w:val="840"/>
          <w:jc w:val="center"/>
        </w:trPr>
        <w:tc>
          <w:tcPr>
            <w:tcW w:w="406"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b/>
                <w:kern w:val="0"/>
                <w:sz w:val="18"/>
                <w:szCs w:val="18"/>
              </w:rPr>
            </w:pPr>
            <w:bookmarkStart w:id="0" w:name="_GoBack"/>
            <w:bookmarkEnd w:id="0"/>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t>专</w:t>
            </w: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t>业</w:t>
            </w: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t>选</w:t>
            </w: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t>修</w:t>
            </w: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EE35E9">
            <w:pPr>
              <w:snapToGrid w:val="0"/>
              <w:spacing w:line="240" w:lineRule="exact"/>
              <w:jc w:val="center"/>
              <w:rPr>
                <w:rStyle w:val="NormalCharacter"/>
                <w:rFonts w:ascii="宋体" w:eastAsia="微软雅黑" w:hAnsi="宋体"/>
                <w:b/>
                <w:kern w:val="0"/>
                <w:sz w:val="18"/>
                <w:szCs w:val="18"/>
              </w:rPr>
            </w:pPr>
          </w:p>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t>课</w:t>
            </w:r>
          </w:p>
        </w:tc>
        <w:tc>
          <w:tcPr>
            <w:tcW w:w="1188" w:type="dxa"/>
            <w:vMerge w:val="restart"/>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民法与民事诉讼法</w:t>
            </w:r>
          </w:p>
          <w:p w:rsidR="00EE35E9" w:rsidRDefault="00BB0F39">
            <w:pPr>
              <w:snapToGrid w:val="0"/>
              <w:spacing w:line="240" w:lineRule="exact"/>
              <w:rPr>
                <w:rStyle w:val="NormalCharacter"/>
                <w:kern w:val="0"/>
                <w:sz w:val="18"/>
                <w:szCs w:val="18"/>
              </w:rPr>
            </w:pPr>
            <w:r>
              <w:rPr>
                <w:rStyle w:val="NormalCharacter"/>
                <w:kern w:val="0"/>
                <w:sz w:val="18"/>
                <w:szCs w:val="18"/>
              </w:rPr>
              <w:t>Civil Law and Civil Procedure Law</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82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刑法与刑事诉讼法</w:t>
            </w:r>
            <w:r>
              <w:rPr>
                <w:rStyle w:val="NormalCharacter"/>
                <w:kern w:val="0"/>
                <w:sz w:val="18"/>
                <w:szCs w:val="18"/>
              </w:rPr>
              <w:t xml:space="preserve"> </w:t>
            </w:r>
          </w:p>
          <w:p w:rsidR="00EE35E9" w:rsidRDefault="00BB0F39">
            <w:pPr>
              <w:snapToGrid w:val="0"/>
              <w:spacing w:line="240" w:lineRule="exact"/>
              <w:rPr>
                <w:rStyle w:val="NormalCharacter"/>
                <w:kern w:val="0"/>
                <w:sz w:val="18"/>
                <w:szCs w:val="18"/>
              </w:rPr>
            </w:pPr>
            <w:r>
              <w:rPr>
                <w:rStyle w:val="NormalCharacter"/>
                <w:kern w:val="0"/>
                <w:sz w:val="18"/>
                <w:szCs w:val="18"/>
              </w:rPr>
              <w:t>Criminal Law and Criminal Procedure Law</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jc w:val="center"/>
              <w:rPr>
                <w:rStyle w:val="NormalCharacter"/>
                <w:sz w:val="18"/>
                <w:szCs w:val="18"/>
              </w:rPr>
            </w:pPr>
            <w:r>
              <w:rPr>
                <w:rStyle w:val="NormalCharacter"/>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805"/>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行政法与行政诉讼法</w:t>
            </w:r>
          </w:p>
          <w:p w:rsidR="00EE35E9" w:rsidRDefault="00BB0F39">
            <w:pPr>
              <w:snapToGrid w:val="0"/>
              <w:spacing w:line="240" w:lineRule="exact"/>
              <w:rPr>
                <w:rStyle w:val="NormalCharacter"/>
                <w:kern w:val="0"/>
                <w:sz w:val="18"/>
                <w:szCs w:val="18"/>
              </w:rPr>
            </w:pPr>
            <w:r>
              <w:rPr>
                <w:rStyle w:val="NormalCharacter"/>
                <w:kern w:val="0"/>
                <w:sz w:val="18"/>
                <w:szCs w:val="18"/>
              </w:rPr>
              <w:t>Administrative Law and Administrative Procedure Law</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至少选修</w:t>
            </w:r>
            <w:r>
              <w:rPr>
                <w:rStyle w:val="NormalCharacter"/>
                <w:kern w:val="0"/>
                <w:sz w:val="18"/>
                <w:szCs w:val="18"/>
              </w:rPr>
              <w:t>6</w:t>
            </w:r>
            <w:r>
              <w:rPr>
                <w:rStyle w:val="NormalCharacter"/>
                <w:kern w:val="0"/>
                <w:sz w:val="18"/>
                <w:szCs w:val="18"/>
              </w:rPr>
              <w:t>学分</w:t>
            </w:r>
          </w:p>
        </w:tc>
      </w:tr>
      <w:tr w:rsidR="00EE35E9">
        <w:trPr>
          <w:trHeight w:val="79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未成年人权益保障法律制度</w:t>
            </w:r>
          </w:p>
          <w:p w:rsidR="00EE35E9" w:rsidRDefault="00BB0F39">
            <w:pPr>
              <w:snapToGrid w:val="0"/>
              <w:spacing w:line="240" w:lineRule="exact"/>
              <w:rPr>
                <w:rStyle w:val="NormalCharacter"/>
                <w:kern w:val="0"/>
                <w:sz w:val="18"/>
                <w:szCs w:val="18"/>
              </w:rPr>
            </w:pPr>
            <w:r>
              <w:rPr>
                <w:rStyle w:val="NormalCharacter"/>
                <w:kern w:val="0"/>
                <w:sz w:val="18"/>
                <w:szCs w:val="18"/>
              </w:rPr>
              <w:t>Legal System on Protection of Minors Rights</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kern w:val="0"/>
                <w:sz w:val="18"/>
                <w:szCs w:val="18"/>
              </w:rPr>
            </w:pPr>
          </w:p>
        </w:tc>
      </w:tr>
      <w:tr w:rsidR="00EE35E9">
        <w:trPr>
          <w:trHeight w:val="58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教育政策与法律制度</w:t>
            </w:r>
          </w:p>
          <w:p w:rsidR="00EE35E9" w:rsidRDefault="00BB0F39">
            <w:pPr>
              <w:snapToGrid w:val="0"/>
              <w:spacing w:line="240" w:lineRule="exact"/>
              <w:rPr>
                <w:rStyle w:val="NormalCharacter"/>
                <w:kern w:val="0"/>
                <w:sz w:val="18"/>
                <w:szCs w:val="18"/>
              </w:rPr>
            </w:pPr>
            <w:r>
              <w:rPr>
                <w:rStyle w:val="NormalCharacter"/>
                <w:kern w:val="0"/>
                <w:sz w:val="18"/>
                <w:szCs w:val="18"/>
              </w:rPr>
              <w:t>Policy and Law of Education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kern w:val="0"/>
                <w:sz w:val="18"/>
                <w:szCs w:val="18"/>
              </w:rPr>
            </w:pPr>
          </w:p>
        </w:tc>
      </w:tr>
      <w:tr w:rsidR="00EE35E9">
        <w:trPr>
          <w:trHeight w:val="91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课程教学方法</w:t>
            </w:r>
          </w:p>
          <w:p w:rsidR="00EE35E9" w:rsidRDefault="00BB0F39">
            <w:pPr>
              <w:snapToGrid w:val="0"/>
              <w:spacing w:line="240" w:lineRule="exact"/>
              <w:rPr>
                <w:rStyle w:val="NormalCharacter"/>
                <w:kern w:val="0"/>
                <w:sz w:val="18"/>
                <w:szCs w:val="18"/>
              </w:rPr>
            </w:pPr>
            <w:r>
              <w:rPr>
                <w:rStyle w:val="NormalCharacter"/>
                <w:kern w:val="0"/>
                <w:sz w:val="18"/>
                <w:szCs w:val="18"/>
              </w:rPr>
              <w:t>Teaching Methods in Curriculum</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kern w:val="0"/>
                <w:sz w:val="18"/>
                <w:szCs w:val="18"/>
              </w:rPr>
            </w:pPr>
          </w:p>
        </w:tc>
      </w:tr>
      <w:tr w:rsidR="00EE35E9">
        <w:trPr>
          <w:trHeight w:val="85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现代教育技术应用</w:t>
            </w:r>
          </w:p>
          <w:p w:rsidR="00EE35E9" w:rsidRDefault="00BB0F39">
            <w:pPr>
              <w:snapToGrid w:val="0"/>
              <w:spacing w:line="240" w:lineRule="exact"/>
              <w:rPr>
                <w:rStyle w:val="NormalCharacter"/>
                <w:kern w:val="0"/>
                <w:sz w:val="18"/>
                <w:szCs w:val="18"/>
              </w:rPr>
            </w:pPr>
            <w:r>
              <w:rPr>
                <w:rStyle w:val="NormalCharacter"/>
                <w:kern w:val="0"/>
                <w:sz w:val="18"/>
                <w:szCs w:val="18"/>
              </w:rPr>
              <w:t>Application of Modern Educational Technology</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C1158F">
            <w:pPr>
              <w:snapToGrid w:val="0"/>
              <w:spacing w:line="240" w:lineRule="exact"/>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kern w:val="0"/>
                <w:sz w:val="18"/>
                <w:szCs w:val="18"/>
              </w:rPr>
            </w:pPr>
          </w:p>
        </w:tc>
      </w:tr>
      <w:tr w:rsidR="00EE35E9">
        <w:trPr>
          <w:trHeight w:val="535"/>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sz w:val="18"/>
              </w:rPr>
            </w:pPr>
            <w:r>
              <w:rPr>
                <w:rStyle w:val="NormalCharacter"/>
                <w:kern w:val="0"/>
                <w:sz w:val="18"/>
                <w:szCs w:val="18"/>
              </w:rPr>
              <w:t>道德发展心理学</w:t>
            </w:r>
          </w:p>
          <w:p w:rsidR="00EE35E9" w:rsidRDefault="00C02E13">
            <w:pPr>
              <w:snapToGrid w:val="0"/>
              <w:spacing w:line="240" w:lineRule="exact"/>
              <w:rPr>
                <w:rStyle w:val="NormalCharacter"/>
                <w:kern w:val="0"/>
                <w:sz w:val="18"/>
                <w:szCs w:val="18"/>
              </w:rPr>
            </w:pPr>
            <w:r>
              <w:rPr>
                <w:rStyle w:val="NormalCharacter"/>
                <w:kern w:val="0"/>
                <w:sz w:val="20"/>
                <w:szCs w:val="18"/>
              </w:rPr>
              <w:t>Moral Developmental Psychology</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center"/>
              <w:rPr>
                <w:rStyle w:val="NormalCharacter"/>
                <w:kern w:val="0"/>
                <w:sz w:val="18"/>
                <w:szCs w:val="18"/>
              </w:rPr>
            </w:pPr>
          </w:p>
        </w:tc>
      </w:tr>
      <w:tr w:rsidR="00EE35E9">
        <w:trPr>
          <w:trHeight w:val="685"/>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教育心理学</w:t>
            </w:r>
          </w:p>
          <w:p w:rsidR="00EE35E9" w:rsidRDefault="00BB0F39">
            <w:pPr>
              <w:snapToGrid w:val="0"/>
              <w:spacing w:line="240" w:lineRule="exact"/>
              <w:rPr>
                <w:rStyle w:val="NormalCharacter"/>
                <w:kern w:val="0"/>
                <w:sz w:val="18"/>
                <w:szCs w:val="18"/>
              </w:rPr>
            </w:pPr>
            <w:r>
              <w:rPr>
                <w:rStyle w:val="NormalCharacter"/>
                <w:kern w:val="0"/>
                <w:sz w:val="18"/>
                <w:szCs w:val="18"/>
              </w:rPr>
              <w:t>Educational Psychology</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nil"/>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85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教育管理学</w:t>
            </w:r>
          </w:p>
          <w:p w:rsidR="00EE35E9" w:rsidRDefault="00BB0F39">
            <w:pPr>
              <w:snapToGrid w:val="0"/>
              <w:spacing w:line="240" w:lineRule="exact"/>
              <w:rPr>
                <w:rStyle w:val="NormalCharacter"/>
                <w:kern w:val="0"/>
                <w:sz w:val="18"/>
                <w:szCs w:val="18"/>
              </w:rPr>
            </w:pPr>
            <w:r>
              <w:rPr>
                <w:rStyle w:val="NormalCharacter"/>
                <w:kern w:val="0"/>
                <w:sz w:val="18"/>
                <w:szCs w:val="18"/>
              </w:rPr>
              <w:t>Educational Administration</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nil"/>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rPr>
                <w:rStyle w:val="NormalCharacter"/>
                <w:kern w:val="0"/>
                <w:sz w:val="18"/>
                <w:szCs w:val="18"/>
              </w:rPr>
            </w:pPr>
          </w:p>
          <w:p w:rsidR="00EE35E9" w:rsidRDefault="00BB0F39">
            <w:pPr>
              <w:snapToGrid w:val="0"/>
              <w:spacing w:line="240" w:lineRule="exact"/>
              <w:rPr>
                <w:rStyle w:val="NormalCharacter"/>
                <w:kern w:val="0"/>
                <w:sz w:val="18"/>
                <w:szCs w:val="18"/>
              </w:rPr>
            </w:pPr>
            <w:r>
              <w:rPr>
                <w:rStyle w:val="NormalCharacter"/>
                <w:kern w:val="0"/>
                <w:sz w:val="18"/>
                <w:szCs w:val="18"/>
              </w:rPr>
              <w:t>习近平法治思想</w:t>
            </w:r>
          </w:p>
          <w:p w:rsidR="00EE35E9" w:rsidRDefault="00BB0F39">
            <w:pPr>
              <w:snapToGrid w:val="0"/>
              <w:spacing w:line="240" w:lineRule="exact"/>
              <w:rPr>
                <w:rStyle w:val="NormalCharacter"/>
                <w:kern w:val="0"/>
                <w:sz w:val="18"/>
                <w:szCs w:val="18"/>
              </w:rPr>
            </w:pPr>
            <w:r>
              <w:rPr>
                <w:rStyle w:val="NormalCharacter"/>
                <w:kern w:val="0"/>
                <w:sz w:val="18"/>
                <w:szCs w:val="18"/>
              </w:rPr>
              <w:t>Xi Jingling’s Legal Philosophy</w:t>
            </w:r>
            <w:r>
              <w:rPr>
                <w:rStyle w:val="NormalCharacter"/>
                <w:kern w:val="0"/>
                <w:sz w:val="18"/>
                <w:szCs w:val="18"/>
              </w:rPr>
              <w:tab/>
            </w:r>
            <w:r>
              <w:rPr>
                <w:rStyle w:val="NormalCharacter"/>
                <w:kern w:val="0"/>
                <w:sz w:val="18"/>
                <w:szCs w:val="18"/>
              </w:rPr>
              <w:tab/>
            </w:r>
            <w:r>
              <w:rPr>
                <w:rStyle w:val="NormalCharacter"/>
                <w:kern w:val="0"/>
                <w:sz w:val="18"/>
                <w:szCs w:val="18"/>
              </w:rPr>
              <w:tab/>
            </w:r>
            <w:r>
              <w:rPr>
                <w:rStyle w:val="NormalCharacter"/>
                <w:kern w:val="0"/>
                <w:sz w:val="18"/>
                <w:szCs w:val="18"/>
              </w:rPr>
              <w:tab/>
            </w:r>
            <w:r>
              <w:rPr>
                <w:rStyle w:val="NormalCharacter"/>
                <w:kern w:val="0"/>
                <w:sz w:val="18"/>
                <w:szCs w:val="18"/>
              </w:rPr>
              <w:tab/>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哲学专题</w:t>
            </w:r>
          </w:p>
          <w:p w:rsidR="00EE35E9" w:rsidRDefault="00BB0F39">
            <w:pPr>
              <w:snapToGrid w:val="0"/>
              <w:spacing w:line="240" w:lineRule="exact"/>
              <w:rPr>
                <w:rStyle w:val="NormalCharacter"/>
                <w:kern w:val="0"/>
                <w:sz w:val="18"/>
                <w:szCs w:val="18"/>
              </w:rPr>
            </w:pPr>
            <w:r>
              <w:rPr>
                <w:rStyle w:val="NormalCharacter"/>
                <w:kern w:val="0"/>
                <w:sz w:val="18"/>
                <w:szCs w:val="18"/>
              </w:rPr>
              <w:t>Philosophic Monograph</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伦理学导论</w:t>
            </w:r>
          </w:p>
          <w:p w:rsidR="00EE35E9" w:rsidRDefault="00BB0F39">
            <w:pPr>
              <w:snapToGrid w:val="0"/>
              <w:spacing w:line="240" w:lineRule="exact"/>
              <w:rPr>
                <w:rStyle w:val="NormalCharacter"/>
                <w:kern w:val="0"/>
                <w:sz w:val="18"/>
                <w:szCs w:val="18"/>
              </w:rPr>
            </w:pPr>
            <w:r>
              <w:rPr>
                <w:rStyle w:val="NormalCharacter"/>
                <w:kern w:val="0"/>
                <w:sz w:val="18"/>
                <w:szCs w:val="18"/>
              </w:rPr>
              <w:t>An Introduction to Ethics</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生态环境与生命关怀</w:t>
            </w:r>
          </w:p>
          <w:p w:rsidR="00EE35E9" w:rsidRDefault="00BB0F39">
            <w:pPr>
              <w:snapToGrid w:val="0"/>
              <w:spacing w:line="240" w:lineRule="exact"/>
              <w:rPr>
                <w:rStyle w:val="NormalCharacter"/>
                <w:kern w:val="0"/>
                <w:sz w:val="18"/>
                <w:szCs w:val="18"/>
              </w:rPr>
            </w:pPr>
            <w:r>
              <w:rPr>
                <w:rStyle w:val="NormalCharacter"/>
                <w:kern w:val="0"/>
                <w:sz w:val="18"/>
                <w:szCs w:val="18"/>
              </w:rPr>
              <w:t>Ecology and Life Solicitude</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nil"/>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国际视野与文明对话</w:t>
            </w:r>
          </w:p>
          <w:p w:rsidR="00EE35E9" w:rsidRDefault="00BB0F39">
            <w:pPr>
              <w:snapToGrid w:val="0"/>
              <w:spacing w:line="240" w:lineRule="exact"/>
              <w:rPr>
                <w:rStyle w:val="NormalCharacter"/>
                <w:kern w:val="0"/>
                <w:sz w:val="18"/>
                <w:szCs w:val="18"/>
              </w:rPr>
            </w:pPr>
            <w:r>
              <w:rPr>
                <w:rStyle w:val="NormalCharacter"/>
                <w:kern w:val="0"/>
                <w:sz w:val="18"/>
                <w:szCs w:val="18"/>
              </w:rPr>
              <w:t>International Perspective and Dialogue Between Civilizations</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7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b/>
                <w:kern w:val="0"/>
                <w:sz w:val="18"/>
                <w:szCs w:val="18"/>
              </w:rPr>
            </w:pPr>
          </w:p>
        </w:tc>
        <w:tc>
          <w:tcPr>
            <w:tcW w:w="1188" w:type="dxa"/>
            <w:vMerge/>
            <w:tcBorders>
              <w:top w:val="nil"/>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社会发展与公民责任</w:t>
            </w:r>
          </w:p>
          <w:p w:rsidR="00EE35E9" w:rsidRDefault="00BB0F39">
            <w:pPr>
              <w:snapToGrid w:val="0"/>
              <w:spacing w:line="240" w:lineRule="exact"/>
              <w:rPr>
                <w:rStyle w:val="NormalCharacter"/>
                <w:kern w:val="0"/>
                <w:sz w:val="18"/>
                <w:szCs w:val="18"/>
              </w:rPr>
            </w:pPr>
            <w:r>
              <w:rPr>
                <w:rStyle w:val="NormalCharacter"/>
                <w:kern w:val="0"/>
                <w:sz w:val="18"/>
                <w:szCs w:val="18"/>
              </w:rPr>
              <w:t>Social Development and Civic Duty</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32</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2</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r>
      <w:tr w:rsidR="00EE35E9">
        <w:trPr>
          <w:trHeight w:val="1350"/>
          <w:jc w:val="center"/>
        </w:trPr>
        <w:tc>
          <w:tcPr>
            <w:tcW w:w="406"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exact"/>
              <w:jc w:val="center"/>
              <w:rPr>
                <w:rStyle w:val="NormalCharacter"/>
                <w:rFonts w:ascii="宋体" w:eastAsia="微软雅黑" w:hAnsi="宋体"/>
                <w:b/>
                <w:kern w:val="0"/>
                <w:sz w:val="18"/>
                <w:szCs w:val="18"/>
              </w:rPr>
            </w:pPr>
            <w:r>
              <w:rPr>
                <w:rStyle w:val="NormalCharacter"/>
                <w:rFonts w:ascii="宋体" w:eastAsia="微软雅黑" w:hAnsi="宋体"/>
                <w:b/>
                <w:kern w:val="0"/>
                <w:sz w:val="18"/>
                <w:szCs w:val="18"/>
              </w:rPr>
              <w:lastRenderedPageBreak/>
              <w:t>全校公共选修课</w:t>
            </w:r>
          </w:p>
        </w:tc>
        <w:tc>
          <w:tcPr>
            <w:tcW w:w="1188"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rPr>
                <w:rStyle w:val="NormalCharacter"/>
                <w:rFonts w:ascii="宋体" w:eastAsia="微软雅黑" w:hAnsi="宋体"/>
                <w:kern w:val="0"/>
                <w:sz w:val="18"/>
                <w:szCs w:val="18"/>
              </w:rPr>
            </w:pPr>
          </w:p>
        </w:tc>
        <w:tc>
          <w:tcPr>
            <w:tcW w:w="2584"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kern w:val="0"/>
                <w:sz w:val="18"/>
                <w:szCs w:val="18"/>
              </w:rPr>
            </w:pPr>
            <w:r>
              <w:rPr>
                <w:rStyle w:val="NormalCharacter"/>
                <w:kern w:val="0"/>
                <w:sz w:val="18"/>
                <w:szCs w:val="18"/>
              </w:rPr>
              <w:t>根据学校开设的全校公共选修课自选</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Pr="006E6A00" w:rsidRDefault="00BB0F39" w:rsidP="006E6A00">
            <w:pPr>
              <w:snapToGrid w:val="0"/>
              <w:jc w:val="center"/>
              <w:rPr>
                <w:rStyle w:val="NormalCharacter"/>
                <w:kern w:val="0"/>
                <w:sz w:val="18"/>
                <w:szCs w:val="18"/>
              </w:rPr>
            </w:pPr>
            <w:r w:rsidRPr="006E6A00">
              <w:rPr>
                <w:rStyle w:val="NormalCharacter"/>
                <w:kern w:val="0"/>
                <w:sz w:val="18"/>
                <w:szCs w:val="18"/>
              </w:rPr>
              <w:t>1</w:t>
            </w: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Pr="006E6A00" w:rsidRDefault="00BB0F39" w:rsidP="006E6A00">
            <w:pPr>
              <w:snapToGrid w:val="0"/>
              <w:jc w:val="center"/>
              <w:rPr>
                <w:rStyle w:val="NormalCharacter"/>
                <w:kern w:val="0"/>
                <w:sz w:val="18"/>
                <w:szCs w:val="18"/>
              </w:rPr>
            </w:pPr>
            <w:r w:rsidRPr="006E6A00">
              <w:rPr>
                <w:rStyle w:val="NormalCharacter"/>
                <w:kern w:val="0"/>
                <w:sz w:val="18"/>
                <w:szCs w:val="18"/>
              </w:rPr>
              <w:t>16</w:t>
            </w: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Pr="006E6A00" w:rsidRDefault="00BB0F39" w:rsidP="006E6A00">
            <w:pPr>
              <w:snapToGrid w:val="0"/>
              <w:jc w:val="center"/>
              <w:rPr>
                <w:rStyle w:val="NormalCharacter"/>
                <w:kern w:val="0"/>
                <w:sz w:val="18"/>
                <w:szCs w:val="18"/>
              </w:rPr>
            </w:pPr>
            <w:r w:rsidRPr="006E6A00">
              <w:rPr>
                <w:rStyle w:val="NormalCharacter"/>
                <w:kern w:val="0"/>
                <w:sz w:val="18"/>
                <w:szCs w:val="18"/>
              </w:rPr>
              <w:t>1</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考查</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kern w:val="0"/>
                <w:sz w:val="18"/>
                <w:szCs w:val="18"/>
              </w:rPr>
            </w:pPr>
            <w:r>
              <w:rPr>
                <w:rStyle w:val="NormalCharacter"/>
                <w:kern w:val="0"/>
                <w:sz w:val="18"/>
                <w:szCs w:val="18"/>
              </w:rPr>
              <w:t>至少</w:t>
            </w:r>
            <w:r>
              <w:rPr>
                <w:rStyle w:val="NormalCharacter"/>
                <w:kern w:val="0"/>
                <w:sz w:val="18"/>
                <w:szCs w:val="18"/>
              </w:rPr>
              <w:t>1</w:t>
            </w:r>
            <w:r>
              <w:rPr>
                <w:rStyle w:val="NormalCharacter"/>
                <w:kern w:val="0"/>
                <w:sz w:val="18"/>
                <w:szCs w:val="18"/>
              </w:rPr>
              <w:t>学分</w:t>
            </w:r>
          </w:p>
        </w:tc>
      </w:tr>
      <w:tr w:rsidR="00EE35E9">
        <w:trPr>
          <w:trHeight w:val="542"/>
          <w:jc w:val="center"/>
        </w:trPr>
        <w:tc>
          <w:tcPr>
            <w:tcW w:w="406"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cs="宋体"/>
                <w:b/>
                <w:bCs/>
                <w:kern w:val="0"/>
                <w:sz w:val="18"/>
                <w:szCs w:val="18"/>
              </w:rPr>
            </w:pPr>
            <w:r>
              <w:rPr>
                <w:rStyle w:val="NormalCharacter"/>
                <w:rFonts w:ascii="宋体" w:hAnsi="宋体" w:cs="宋体"/>
                <w:b/>
                <w:bCs/>
                <w:kern w:val="0"/>
                <w:sz w:val="18"/>
                <w:szCs w:val="18"/>
              </w:rPr>
              <w:t>必</w:t>
            </w:r>
          </w:p>
          <w:p w:rsidR="00EE35E9" w:rsidRDefault="00BB0F39">
            <w:pPr>
              <w:snapToGrid w:val="0"/>
              <w:spacing w:line="240" w:lineRule="exact"/>
              <w:jc w:val="center"/>
              <w:rPr>
                <w:rStyle w:val="NormalCharacter"/>
                <w:rFonts w:ascii="宋体" w:hAnsi="宋体" w:cs="宋体"/>
                <w:b/>
                <w:bCs/>
                <w:kern w:val="0"/>
                <w:sz w:val="18"/>
                <w:szCs w:val="18"/>
              </w:rPr>
            </w:pPr>
            <w:r>
              <w:rPr>
                <w:rStyle w:val="NormalCharacter"/>
                <w:rFonts w:ascii="宋体" w:hAnsi="宋体" w:cs="宋体"/>
                <w:b/>
                <w:bCs/>
                <w:kern w:val="0"/>
                <w:sz w:val="18"/>
                <w:szCs w:val="18"/>
              </w:rPr>
              <w:t>修</w:t>
            </w:r>
          </w:p>
          <w:p w:rsidR="00EE35E9" w:rsidRDefault="00BB0F39">
            <w:pPr>
              <w:snapToGrid w:val="0"/>
              <w:spacing w:line="240" w:lineRule="exact"/>
              <w:jc w:val="center"/>
              <w:rPr>
                <w:rStyle w:val="NormalCharacter"/>
                <w:rFonts w:ascii="宋体" w:hAnsi="宋体" w:cs="宋体"/>
                <w:b/>
                <w:bCs/>
                <w:kern w:val="0"/>
                <w:sz w:val="18"/>
                <w:szCs w:val="18"/>
              </w:rPr>
            </w:pPr>
            <w:r>
              <w:rPr>
                <w:rStyle w:val="NormalCharacter"/>
                <w:rFonts w:ascii="宋体" w:hAnsi="宋体" w:cs="宋体"/>
                <w:b/>
                <w:bCs/>
                <w:kern w:val="0"/>
                <w:sz w:val="18"/>
                <w:szCs w:val="18"/>
              </w:rPr>
              <w:t>环</w:t>
            </w:r>
          </w:p>
          <w:p w:rsidR="00EE35E9" w:rsidRDefault="00BB0F39">
            <w:pPr>
              <w:snapToGrid w:val="0"/>
              <w:spacing w:line="240" w:lineRule="exact"/>
              <w:jc w:val="center"/>
              <w:rPr>
                <w:rStyle w:val="NormalCharacter"/>
                <w:rFonts w:ascii="宋体" w:hAnsi="宋体" w:cs="宋体"/>
                <w:b/>
                <w:bCs/>
                <w:kern w:val="0"/>
                <w:sz w:val="18"/>
                <w:szCs w:val="18"/>
              </w:rPr>
            </w:pPr>
            <w:r>
              <w:rPr>
                <w:rStyle w:val="NormalCharacter"/>
                <w:rFonts w:ascii="宋体" w:hAnsi="宋体" w:cs="宋体"/>
                <w:b/>
                <w:bCs/>
                <w:kern w:val="0"/>
                <w:sz w:val="18"/>
                <w:szCs w:val="18"/>
              </w:rPr>
              <w:t>节</w:t>
            </w: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rPr>
                <w:rStyle w:val="NormalCharacter"/>
                <w:rFonts w:ascii="宋体" w:hAnsi="宋体"/>
                <w:kern w:val="0"/>
                <w:sz w:val="18"/>
                <w:szCs w:val="18"/>
              </w:rPr>
            </w:pPr>
            <w:r>
              <w:rPr>
                <w:rStyle w:val="NormalCharacter"/>
                <w:rFonts w:ascii="宋体" w:hAnsi="宋体"/>
                <w:kern w:val="0"/>
                <w:sz w:val="18"/>
                <w:szCs w:val="18"/>
              </w:rPr>
              <w:t>学术道德教育和学术规范训练</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0.25</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r>
      <w:tr w:rsidR="00EE35E9">
        <w:trPr>
          <w:trHeight w:val="397"/>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cs="宋体"/>
                <w:b/>
                <w:bCs/>
                <w:kern w:val="0"/>
                <w:sz w:val="18"/>
                <w:szCs w:val="18"/>
              </w:rPr>
            </w:pP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rPr>
                <w:rStyle w:val="NormalCharacter"/>
                <w:rFonts w:ascii="宋体" w:hAnsi="宋体"/>
                <w:kern w:val="0"/>
                <w:sz w:val="18"/>
                <w:szCs w:val="18"/>
              </w:rPr>
            </w:pPr>
            <w:r>
              <w:rPr>
                <w:rStyle w:val="NormalCharacter"/>
                <w:rFonts w:ascii="宋体" w:hAnsi="宋体"/>
                <w:kern w:val="0"/>
                <w:sz w:val="18"/>
                <w:szCs w:val="18"/>
              </w:rPr>
              <w:t>文献阅读报告</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0.25</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exac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kern w:val="0"/>
                <w:sz w:val="18"/>
                <w:szCs w:val="18"/>
              </w:rPr>
              <w:t>至少2份</w:t>
            </w:r>
          </w:p>
        </w:tc>
      </w:tr>
      <w:tr w:rsidR="00EE35E9">
        <w:trPr>
          <w:trHeight w:val="285"/>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cs="宋体"/>
                <w:b/>
                <w:bCs/>
                <w:kern w:val="0"/>
                <w:sz w:val="18"/>
                <w:szCs w:val="18"/>
              </w:rPr>
            </w:pP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rPr>
                <w:rStyle w:val="NormalCharacter"/>
                <w:rFonts w:ascii="宋体" w:hAnsi="宋体"/>
                <w:kern w:val="0"/>
                <w:sz w:val="18"/>
                <w:szCs w:val="18"/>
              </w:rPr>
            </w:pPr>
            <w:r>
              <w:rPr>
                <w:rStyle w:val="NormalCharacter"/>
                <w:rFonts w:ascii="宋体" w:hAnsi="宋体"/>
                <w:kern w:val="0"/>
                <w:sz w:val="18"/>
                <w:szCs w:val="18"/>
              </w:rPr>
              <w:t>学术活动（含远航大讲堂）</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kern w:val="0"/>
                <w:sz w:val="18"/>
                <w:szCs w:val="18"/>
              </w:rPr>
              <w:t>0.25</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至少10次</w:t>
            </w:r>
          </w:p>
        </w:tc>
      </w:tr>
      <w:tr w:rsidR="00EE35E9">
        <w:trPr>
          <w:trHeight w:val="540"/>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cs="宋体"/>
                <w:b/>
                <w:bCs/>
                <w:kern w:val="0"/>
                <w:sz w:val="18"/>
                <w:szCs w:val="18"/>
              </w:rPr>
            </w:pP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rPr>
                <w:rStyle w:val="NormalCharacter"/>
                <w:rFonts w:ascii="宋体" w:hAnsi="宋体"/>
                <w:kern w:val="0"/>
                <w:sz w:val="18"/>
                <w:szCs w:val="18"/>
              </w:rPr>
            </w:pPr>
            <w:r>
              <w:rPr>
                <w:rStyle w:val="NormalCharacter"/>
                <w:rFonts w:ascii="宋体" w:hAnsi="宋体"/>
                <w:kern w:val="0"/>
                <w:sz w:val="18"/>
                <w:szCs w:val="18"/>
              </w:rPr>
              <w:t>社会实践</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0.25</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exac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atLeast"/>
              <w:jc w:val="center"/>
              <w:rPr>
                <w:rStyle w:val="NormalCharacter"/>
                <w:rFonts w:ascii="宋体" w:hAnsi="宋体"/>
                <w:kern w:val="0"/>
                <w:sz w:val="18"/>
                <w:szCs w:val="18"/>
              </w:rPr>
            </w:pPr>
          </w:p>
        </w:tc>
      </w:tr>
      <w:tr w:rsidR="00EE35E9">
        <w:trPr>
          <w:trHeight w:val="607"/>
          <w:jc w:val="center"/>
        </w:trPr>
        <w:tc>
          <w:tcPr>
            <w:tcW w:w="406" w:type="dxa"/>
            <w:vMerge w:val="restart"/>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cs="宋体"/>
                <w:b/>
                <w:bCs/>
                <w:kern w:val="0"/>
                <w:sz w:val="18"/>
                <w:szCs w:val="18"/>
              </w:rPr>
            </w:pPr>
            <w:r>
              <w:rPr>
                <w:rStyle w:val="NormalCharacter"/>
                <w:rFonts w:ascii="宋体" w:hAnsi="宋体" w:cs="宋体"/>
                <w:b/>
                <w:bCs/>
                <w:kern w:val="0"/>
                <w:sz w:val="18"/>
                <w:szCs w:val="18"/>
              </w:rPr>
              <w:t>实践</w:t>
            </w:r>
          </w:p>
          <w:p w:rsidR="00EE35E9" w:rsidRDefault="00BB0F39">
            <w:pPr>
              <w:snapToGrid w:val="0"/>
              <w:spacing w:line="240" w:lineRule="atLeast"/>
              <w:jc w:val="center"/>
              <w:rPr>
                <w:rStyle w:val="NormalCharacter"/>
                <w:rFonts w:ascii="宋体" w:hAnsi="宋体" w:cs="宋体"/>
                <w:b/>
                <w:bCs/>
                <w:kern w:val="0"/>
                <w:sz w:val="18"/>
                <w:szCs w:val="18"/>
              </w:rPr>
            </w:pPr>
            <w:r>
              <w:rPr>
                <w:rStyle w:val="NormalCharacter"/>
                <w:rFonts w:ascii="宋体" w:hAnsi="宋体" w:cs="宋体"/>
                <w:b/>
                <w:bCs/>
                <w:kern w:val="0"/>
                <w:sz w:val="18"/>
                <w:szCs w:val="18"/>
              </w:rPr>
              <w:t>课程</w:t>
            </w:r>
          </w:p>
        </w:tc>
        <w:tc>
          <w:tcPr>
            <w:tcW w:w="3772"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rPr>
                <w:rStyle w:val="NormalCharacter"/>
                <w:rFonts w:ascii="宋体" w:hAnsi="宋体"/>
                <w:kern w:val="0"/>
                <w:sz w:val="18"/>
                <w:szCs w:val="18"/>
              </w:rPr>
            </w:pPr>
            <w:r>
              <w:rPr>
                <w:rStyle w:val="NormalCharacter"/>
                <w:rFonts w:ascii="宋体" w:hAnsi="宋体"/>
                <w:sz w:val="18"/>
                <w:szCs w:val="18"/>
              </w:rPr>
              <w:t>校内实训（教学技能训练、微格教学、课例分析、教师合格水平达标等）</w:t>
            </w:r>
          </w:p>
        </w:tc>
        <w:tc>
          <w:tcPr>
            <w:tcW w:w="567"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530"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580" w:type="dxa"/>
            <w:tcBorders>
              <w:top w:val="single" w:sz="4" w:space="0" w:color="000000"/>
              <w:left w:val="single" w:sz="4" w:space="0" w:color="000000"/>
              <w:bottom w:val="nil"/>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sz w:val="18"/>
                <w:szCs w:val="18"/>
              </w:rPr>
              <w:t>2</w:t>
            </w:r>
          </w:p>
        </w:tc>
        <w:tc>
          <w:tcPr>
            <w:tcW w:w="425"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6"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atLeast"/>
              <w:jc w:val="center"/>
              <w:rPr>
                <w:rStyle w:val="NormalCharacter"/>
                <w:rFonts w:ascii="宋体" w:hAnsi="宋体"/>
                <w:kern w:val="0"/>
                <w:sz w:val="18"/>
                <w:szCs w:val="18"/>
              </w:rPr>
            </w:pPr>
          </w:p>
        </w:tc>
      </w:tr>
      <w:tr w:rsidR="00EE35E9">
        <w:trPr>
          <w:trHeight w:val="652"/>
          <w:jc w:val="center"/>
        </w:trPr>
        <w:tc>
          <w:tcPr>
            <w:tcW w:w="406" w:type="dxa"/>
            <w:vMerge/>
            <w:tcBorders>
              <w:top w:val="single" w:sz="4" w:space="0" w:color="000000"/>
              <w:left w:val="single" w:sz="4" w:space="0" w:color="000000"/>
              <w:bottom w:val="nil"/>
              <w:right w:val="single" w:sz="4" w:space="0" w:color="000000"/>
            </w:tcBorders>
            <w:vAlign w:val="center"/>
          </w:tcPr>
          <w:p w:rsidR="00EE35E9" w:rsidRDefault="00EE35E9">
            <w:pPr>
              <w:jc w:val="left"/>
              <w:rPr>
                <w:rStyle w:val="NormalCharacter"/>
                <w:rFonts w:ascii="宋体" w:hAnsi="宋体" w:cs="宋体"/>
                <w:b/>
                <w:bCs/>
                <w:kern w:val="0"/>
                <w:sz w:val="18"/>
                <w:szCs w:val="18"/>
              </w:rPr>
            </w:pPr>
          </w:p>
        </w:tc>
        <w:tc>
          <w:tcPr>
            <w:tcW w:w="3772"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rPr>
                <w:rStyle w:val="NormalCharacter"/>
                <w:rFonts w:ascii="宋体" w:hAnsi="宋体"/>
                <w:kern w:val="0"/>
                <w:sz w:val="18"/>
                <w:szCs w:val="18"/>
              </w:rPr>
            </w:pPr>
            <w:r>
              <w:rPr>
                <w:rStyle w:val="NormalCharacter"/>
                <w:rFonts w:ascii="宋体" w:hAnsi="宋体"/>
                <w:sz w:val="18"/>
                <w:szCs w:val="18"/>
              </w:rPr>
              <w:t>校外实践（主要包括教育见习、教育实习、教育研习等）</w:t>
            </w:r>
          </w:p>
        </w:tc>
        <w:tc>
          <w:tcPr>
            <w:tcW w:w="567"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530"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580" w:type="dxa"/>
            <w:tcBorders>
              <w:top w:val="single" w:sz="4" w:space="0" w:color="000000"/>
              <w:left w:val="single" w:sz="4" w:space="0" w:color="000000"/>
              <w:bottom w:val="nil"/>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sz w:val="18"/>
                <w:szCs w:val="18"/>
              </w:rPr>
              <w:t>6</w:t>
            </w: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nil"/>
              <w:right w:val="single" w:sz="4" w:space="0" w:color="000000"/>
            </w:tcBorders>
            <w:vAlign w:val="center"/>
          </w:tcPr>
          <w:p w:rsidR="00EE35E9" w:rsidRDefault="00EE35E9">
            <w:pPr>
              <w:snapToGrid w:val="0"/>
              <w:spacing w:line="300" w:lineRule="auto"/>
              <w:jc w:val="center"/>
              <w:rPr>
                <w:rStyle w:val="NormalCharacter"/>
                <w:rFonts w:ascii="宋体" w:hAnsi="宋体"/>
                <w:kern w:val="0"/>
                <w:sz w:val="18"/>
                <w:szCs w:val="18"/>
              </w:rPr>
            </w:pPr>
          </w:p>
        </w:tc>
        <w:tc>
          <w:tcPr>
            <w:tcW w:w="426"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nil"/>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kern w:val="0"/>
                <w:sz w:val="18"/>
                <w:szCs w:val="18"/>
              </w:rPr>
              <w:t>考核</w:t>
            </w:r>
          </w:p>
        </w:tc>
        <w:tc>
          <w:tcPr>
            <w:tcW w:w="661" w:type="dxa"/>
            <w:tcBorders>
              <w:top w:val="single" w:sz="4" w:space="0" w:color="000000"/>
              <w:left w:val="single" w:sz="4" w:space="0" w:color="000000"/>
              <w:bottom w:val="nil"/>
              <w:right w:val="single" w:sz="4" w:space="0" w:color="000000"/>
            </w:tcBorders>
            <w:vAlign w:val="center"/>
          </w:tcPr>
          <w:p w:rsidR="00EE35E9" w:rsidRDefault="00EE35E9">
            <w:pPr>
              <w:snapToGrid w:val="0"/>
              <w:spacing w:line="240" w:lineRule="atLeast"/>
              <w:jc w:val="center"/>
              <w:rPr>
                <w:rStyle w:val="NormalCharacter"/>
                <w:rFonts w:ascii="宋体" w:hAnsi="宋体"/>
                <w:kern w:val="0"/>
                <w:sz w:val="18"/>
                <w:szCs w:val="18"/>
              </w:rPr>
            </w:pPr>
          </w:p>
        </w:tc>
      </w:tr>
      <w:tr w:rsidR="00EE35E9">
        <w:trPr>
          <w:trHeight w:val="522"/>
          <w:jc w:val="center"/>
        </w:trPr>
        <w:tc>
          <w:tcPr>
            <w:tcW w:w="406" w:type="dxa"/>
            <w:vMerge w:val="restart"/>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rPr>
                <w:rStyle w:val="NormalCharacter"/>
                <w:rFonts w:ascii="宋体" w:hAnsi="宋体" w:cs="宋体"/>
                <w:b/>
                <w:bCs/>
                <w:kern w:val="0"/>
                <w:sz w:val="18"/>
                <w:szCs w:val="18"/>
              </w:rPr>
            </w:pPr>
            <w:r>
              <w:rPr>
                <w:rStyle w:val="NormalCharacter"/>
                <w:rFonts w:ascii="宋体" w:hAnsi="宋体" w:cs="宋体"/>
                <w:b/>
                <w:bCs/>
                <w:kern w:val="0"/>
                <w:sz w:val="18"/>
                <w:szCs w:val="18"/>
              </w:rPr>
              <w:t>学位</w:t>
            </w:r>
          </w:p>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cs="宋体"/>
                <w:b/>
                <w:bCs/>
                <w:kern w:val="0"/>
                <w:sz w:val="18"/>
                <w:szCs w:val="18"/>
              </w:rPr>
              <w:t>论文</w:t>
            </w: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rPr>
                <w:rStyle w:val="NormalCharacter"/>
                <w:rFonts w:ascii="宋体" w:hAnsi="宋体"/>
                <w:kern w:val="0"/>
                <w:sz w:val="18"/>
                <w:szCs w:val="18"/>
              </w:rPr>
            </w:pPr>
            <w:r>
              <w:rPr>
                <w:rStyle w:val="NormalCharacter"/>
                <w:rFonts w:ascii="宋体" w:hAnsi="宋体"/>
                <w:kern w:val="0"/>
                <w:sz w:val="18"/>
                <w:szCs w:val="18"/>
              </w:rPr>
              <w:t>开题报告</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rPr>
                <w:rStyle w:val="NormalCharacter"/>
                <w:rFonts w:ascii="宋体" w:hAnsi="宋体"/>
                <w:kern w:val="0"/>
                <w:sz w:val="18"/>
                <w:szCs w:val="18"/>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r>
      <w:tr w:rsidR="00EE35E9">
        <w:trPr>
          <w:trHeight w:val="688"/>
          <w:jc w:val="center"/>
        </w:trPr>
        <w:tc>
          <w:tcPr>
            <w:tcW w:w="406" w:type="dxa"/>
            <w:vMerge/>
            <w:tcBorders>
              <w:top w:val="single" w:sz="4" w:space="0" w:color="000000"/>
              <w:left w:val="single" w:sz="4" w:space="0" w:color="000000"/>
              <w:bottom w:val="single" w:sz="4" w:space="0" w:color="000000"/>
              <w:right w:val="single" w:sz="4" w:space="0" w:color="000000"/>
            </w:tcBorders>
            <w:vAlign w:val="center"/>
          </w:tcPr>
          <w:p w:rsidR="00EE35E9" w:rsidRDefault="00EE35E9">
            <w:pPr>
              <w:jc w:val="left"/>
              <w:rPr>
                <w:rStyle w:val="NormalCharacter"/>
                <w:rFonts w:ascii="宋体" w:hAnsi="宋体"/>
                <w:kern w:val="0"/>
                <w:sz w:val="18"/>
                <w:szCs w:val="18"/>
              </w:rPr>
            </w:pPr>
          </w:p>
        </w:tc>
        <w:tc>
          <w:tcPr>
            <w:tcW w:w="3772"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rPr>
                <w:rStyle w:val="NormalCharacter"/>
                <w:rFonts w:ascii="宋体" w:hAnsi="宋体"/>
                <w:kern w:val="0"/>
                <w:sz w:val="18"/>
                <w:szCs w:val="18"/>
              </w:rPr>
            </w:pPr>
            <w:r>
              <w:rPr>
                <w:rStyle w:val="NormalCharacter"/>
                <w:rFonts w:ascii="宋体" w:hAnsi="宋体"/>
                <w:kern w:val="0"/>
                <w:sz w:val="18"/>
                <w:szCs w:val="18"/>
              </w:rPr>
              <w:t>论文写作与答辩</w:t>
            </w:r>
          </w:p>
        </w:tc>
        <w:tc>
          <w:tcPr>
            <w:tcW w:w="567"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c>
          <w:tcPr>
            <w:tcW w:w="425"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BB0F39" w:rsidP="007754F4">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6"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300" w:lineRule="auto"/>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BB0F39">
            <w:pPr>
              <w:snapToGrid w:val="0"/>
              <w:spacing w:line="240" w:lineRule="atLeast"/>
              <w:jc w:val="center"/>
              <w:rPr>
                <w:rStyle w:val="NormalCharacter"/>
                <w:rFonts w:ascii="宋体" w:hAnsi="宋体"/>
                <w:kern w:val="0"/>
                <w:sz w:val="18"/>
                <w:szCs w:val="18"/>
              </w:rPr>
            </w:pPr>
            <w:r>
              <w:rPr>
                <w:rStyle w:val="NormalCharacter"/>
                <w:rFonts w:ascii="宋体" w:hAnsi="宋体"/>
                <w:sz w:val="18"/>
                <w:szCs w:val="18"/>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EE35E9" w:rsidRDefault="00EE35E9">
            <w:pPr>
              <w:snapToGrid w:val="0"/>
              <w:spacing w:line="240" w:lineRule="atLeast"/>
              <w:jc w:val="center"/>
              <w:rPr>
                <w:rStyle w:val="NormalCharacter"/>
                <w:rFonts w:ascii="宋体" w:hAnsi="宋体"/>
                <w:sz w:val="18"/>
                <w:szCs w:val="18"/>
              </w:rPr>
            </w:pPr>
          </w:p>
          <w:p w:rsidR="00EE35E9" w:rsidRDefault="00EE35E9">
            <w:pPr>
              <w:snapToGrid w:val="0"/>
              <w:spacing w:line="240" w:lineRule="atLeast"/>
              <w:jc w:val="center"/>
              <w:rPr>
                <w:rStyle w:val="NormalCharacter"/>
                <w:rFonts w:ascii="宋体" w:hAnsi="宋体"/>
                <w:kern w:val="0"/>
                <w:sz w:val="18"/>
                <w:szCs w:val="18"/>
              </w:rPr>
            </w:pPr>
          </w:p>
        </w:tc>
        <w:tc>
          <w:tcPr>
            <w:tcW w:w="657" w:type="dxa"/>
            <w:gridSpan w:val="2"/>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rPr>
                <w:rStyle w:val="NormalCharacter"/>
                <w:rFonts w:ascii="宋体" w:hAnsi="宋体"/>
                <w:kern w:val="0"/>
                <w:sz w:val="18"/>
                <w:szCs w:val="18"/>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EE35E9" w:rsidRDefault="00EE35E9">
            <w:pPr>
              <w:spacing w:line="240" w:lineRule="atLeast"/>
              <w:jc w:val="center"/>
              <w:rPr>
                <w:rStyle w:val="NormalCharacter"/>
                <w:rFonts w:ascii="宋体" w:hAnsi="宋体"/>
                <w:kern w:val="0"/>
                <w:sz w:val="18"/>
                <w:szCs w:val="18"/>
              </w:rPr>
            </w:pPr>
          </w:p>
        </w:tc>
      </w:tr>
      <w:tr w:rsidR="00EE35E9">
        <w:trPr>
          <w:trHeight w:val="1992"/>
          <w:jc w:val="center"/>
        </w:trPr>
        <w:tc>
          <w:tcPr>
            <w:tcW w:w="406" w:type="dxa"/>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jc w:val="center"/>
              <w:rPr>
                <w:rStyle w:val="NormalCharacter"/>
                <w:rFonts w:ascii="宋体" w:hAnsi="宋体" w:cs="宋体"/>
                <w:b/>
                <w:bCs/>
                <w:kern w:val="0"/>
                <w:sz w:val="18"/>
                <w:szCs w:val="18"/>
              </w:rPr>
            </w:pPr>
            <w:r>
              <w:rPr>
                <w:rStyle w:val="NormalCharacter"/>
                <w:rFonts w:ascii="宋体" w:hAnsi="宋体"/>
                <w:kern w:val="0"/>
                <w:sz w:val="18"/>
                <w:szCs w:val="18"/>
              </w:rPr>
              <w:t xml:space="preserve"> </w:t>
            </w:r>
            <w:r>
              <w:rPr>
                <w:rStyle w:val="NormalCharacter"/>
                <w:rFonts w:ascii="宋体" w:hAnsi="宋体" w:cs="宋体"/>
                <w:b/>
                <w:bCs/>
                <w:kern w:val="0"/>
                <w:sz w:val="18"/>
                <w:szCs w:val="18"/>
              </w:rPr>
              <w:t>总学分要求</w:t>
            </w:r>
          </w:p>
        </w:tc>
        <w:tc>
          <w:tcPr>
            <w:tcW w:w="9318" w:type="dxa"/>
            <w:gridSpan w:val="15"/>
            <w:tcBorders>
              <w:top w:val="single" w:sz="4" w:space="0" w:color="000000"/>
              <w:left w:val="single" w:sz="4" w:space="0" w:color="000000"/>
              <w:bottom w:val="single" w:sz="4" w:space="0" w:color="000000"/>
              <w:right w:val="single" w:sz="4" w:space="0" w:color="000000"/>
            </w:tcBorders>
            <w:vAlign w:val="center"/>
          </w:tcPr>
          <w:p w:rsidR="00EE35E9" w:rsidRDefault="00BB0F39">
            <w:pPr>
              <w:spacing w:line="240" w:lineRule="atLeast"/>
              <w:ind w:firstLineChars="150" w:firstLine="270"/>
              <w:jc w:val="center"/>
              <w:rPr>
                <w:rStyle w:val="NormalCharacter"/>
                <w:rFonts w:ascii="宋体" w:hAnsi="宋体"/>
                <w:kern w:val="0"/>
                <w:sz w:val="18"/>
                <w:szCs w:val="18"/>
              </w:rPr>
            </w:pPr>
            <w:r>
              <w:rPr>
                <w:rStyle w:val="NormalCharacter"/>
                <w:rFonts w:ascii="宋体" w:hAnsi="宋体"/>
                <w:kern w:val="0"/>
                <w:sz w:val="18"/>
                <w:szCs w:val="18"/>
              </w:rPr>
              <w:t>39学分</w:t>
            </w:r>
          </w:p>
        </w:tc>
      </w:tr>
    </w:tbl>
    <w:p w:rsidR="00EE35E9" w:rsidRDefault="00EE35E9">
      <w:pPr>
        <w:snapToGrid w:val="0"/>
        <w:spacing w:line="320" w:lineRule="exact"/>
        <w:ind w:firstLineChars="250" w:firstLine="525"/>
        <w:rPr>
          <w:rStyle w:val="NormalCharacter"/>
          <w:rFonts w:ascii="宋体" w:hAnsi="宋体"/>
        </w:rPr>
      </w:pPr>
    </w:p>
    <w:p w:rsidR="00EE35E9" w:rsidRDefault="00EE35E9">
      <w:pPr>
        <w:spacing w:line="360" w:lineRule="auto"/>
        <w:rPr>
          <w:rStyle w:val="NormalCharacter"/>
          <w:b/>
          <w:sz w:val="32"/>
          <w:szCs w:val="32"/>
        </w:rPr>
      </w:pPr>
    </w:p>
    <w:sectPr w:rsidR="00EE35E9">
      <w:footerReference w:type="default" r:id="rId8"/>
      <w:pgSz w:w="11906" w:h="16838"/>
      <w:pgMar w:top="1276"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D69" w:rsidRDefault="00574D69">
      <w:r>
        <w:separator/>
      </w:r>
    </w:p>
  </w:endnote>
  <w:endnote w:type="continuationSeparator" w:id="0">
    <w:p w:rsidR="00574D69" w:rsidRDefault="0057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40001" w:csb1="00000000"/>
  </w:font>
  <w:font w:name="楷体">
    <w:altName w:val="楷体"/>
    <w:panose1 w:val="02010609060101010101"/>
    <w:charset w:val="86"/>
    <w:family w:val="modern"/>
    <w:pitch w:val="fixed"/>
    <w:sig w:usb0="800002BF" w:usb1="38CF7CFA" w:usb2="00000016" w:usb3="00000000" w:csb0="00040001" w:csb1="00000000"/>
  </w:font>
  <w:font w:name="sans-serif">
    <w:altName w:val="Times New Roman"/>
    <w:charset w:val="00"/>
    <w:family w:val="roman"/>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ˎ̥">
    <w:altName w:val="Arial Unicode MS"/>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5E9" w:rsidRDefault="00EE35E9">
    <w:pPr>
      <w:pStyle w:val="a3"/>
      <w:jc w:val="center"/>
      <w:rPr>
        <w:rStyle w:val="NormalCharacter"/>
      </w:rPr>
    </w:pPr>
  </w:p>
  <w:p w:rsidR="00EE35E9" w:rsidRDefault="00EE35E9">
    <w:pPr>
      <w:pStyle w:val="a3"/>
      <w:rPr>
        <w:rStyle w:val="NormalCharact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D69" w:rsidRDefault="00574D69">
      <w:r>
        <w:separator/>
      </w:r>
    </w:p>
  </w:footnote>
  <w:footnote w:type="continuationSeparator" w:id="0">
    <w:p w:rsidR="00574D69" w:rsidRDefault="00574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isplayHorizontalDrawingGridEvery w:val="0"/>
  <w:displayVerticalDrawingGridEvery w:val="2"/>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Setting w:name="useWord2013TrackBottomHyphenation" w:uri="http://schemas.microsoft.com/office/word" w:val="1"/>
  </w:compat>
  <w:rsids>
    <w:rsidRoot w:val="00EE35E9"/>
    <w:rsid w:val="001B43C0"/>
    <w:rsid w:val="00574D69"/>
    <w:rsid w:val="006E6A00"/>
    <w:rsid w:val="007754F4"/>
    <w:rsid w:val="007E6D6D"/>
    <w:rsid w:val="00911C0E"/>
    <w:rsid w:val="00A641A5"/>
    <w:rsid w:val="00A971AC"/>
    <w:rsid w:val="00BB0F39"/>
    <w:rsid w:val="00C02E13"/>
    <w:rsid w:val="00C1158F"/>
    <w:rsid w:val="00EE3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2948F9-66AD-48AF-A9A1-543EB1A0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both"/>
      <w:textAlignment w:val="baseline"/>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numbering" w:customStyle="1" w:styleId="NormalList">
    <w:name w:val="NormalList"/>
    <w:semiHidden/>
  </w:style>
  <w:style w:type="paragraph" w:customStyle="1" w:styleId="Acetate">
    <w:name w:val="Acetate"/>
    <w:basedOn w:val="a"/>
    <w:link w:val="UserStyle0"/>
    <w:rPr>
      <w:sz w:val="18"/>
      <w:szCs w:val="18"/>
    </w:rPr>
  </w:style>
  <w:style w:type="character" w:customStyle="1" w:styleId="UserStyle0">
    <w:name w:val="UserStyle_0"/>
    <w:link w:val="Acetate"/>
    <w:rPr>
      <w:kern w:val="2"/>
      <w:sz w:val="18"/>
      <w:szCs w:val="18"/>
    </w:rPr>
  </w:style>
  <w:style w:type="paragraph" w:styleId="a3">
    <w:name w:val="footer"/>
    <w:basedOn w:val="a"/>
    <w:link w:val="a4"/>
    <w:pPr>
      <w:tabs>
        <w:tab w:val="center" w:pos="4153"/>
        <w:tab w:val="right" w:pos="8306"/>
      </w:tabs>
      <w:snapToGrid w:val="0"/>
      <w:jc w:val="left"/>
    </w:pPr>
    <w:rPr>
      <w:sz w:val="18"/>
      <w:szCs w:val="18"/>
    </w:rPr>
  </w:style>
  <w:style w:type="character" w:customStyle="1" w:styleId="a4">
    <w:name w:val="页脚 字符"/>
    <w:link w:val="a3"/>
    <w:rPr>
      <w:kern w:val="2"/>
      <w:sz w:val="18"/>
      <w:szCs w:val="18"/>
    </w:rPr>
  </w:style>
  <w:style w:type="paragraph" w:styleId="a5">
    <w:name w:val="header"/>
    <w:basedOn w:val="a"/>
    <w:link w:val="a6"/>
    <w:pPr>
      <w:pBdr>
        <w:bottom w:val="single" w:sz="6" w:space="1" w:color="000000"/>
      </w:pBdr>
      <w:tabs>
        <w:tab w:val="center" w:pos="4153"/>
        <w:tab w:val="right" w:pos="8306"/>
      </w:tabs>
      <w:snapToGrid w:val="0"/>
      <w:jc w:val="center"/>
    </w:pPr>
    <w:rPr>
      <w:sz w:val="18"/>
      <w:szCs w:val="18"/>
    </w:rPr>
  </w:style>
  <w:style w:type="character" w:customStyle="1" w:styleId="a6">
    <w:name w:val="页眉 字符"/>
    <w:link w:val="a5"/>
    <w:rPr>
      <w:kern w:val="2"/>
      <w:sz w:val="18"/>
      <w:szCs w:val="18"/>
    </w:rPr>
  </w:style>
  <w:style w:type="character" w:styleId="a7">
    <w:name w:val="Strong"/>
    <w:rPr>
      <w:rFonts w:cs="Times New Roman"/>
      <w:b/>
      <w:bCs/>
    </w:rPr>
  </w:style>
  <w:style w:type="paragraph" w:customStyle="1" w:styleId="UserStyle3">
    <w:name w:val="UserStyle_3"/>
    <w:pPr>
      <w:textAlignment w:val="baseline"/>
    </w:pPr>
    <w:rPr>
      <w:rFonts w:ascii="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cp:revision>
  <dcterms:created xsi:type="dcterms:W3CDTF">2021-06-15T06:22:00Z</dcterms:created>
  <dcterms:modified xsi:type="dcterms:W3CDTF">2021-06-15T06:44:00Z</dcterms:modified>
</cp:coreProperties>
</file>